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1142" w:lineRule="exact"/>
        <w:ind w:left="38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736091" cy="7254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36091" cy="725424"/>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spacing w:line="817" w:lineRule="exact" w:before="0"/>
        <w:ind w:left="70" w:right="76" w:firstLine="0"/>
        <w:jc w:val="center"/>
        <w:rPr>
          <w:rFonts w:ascii="隶书" w:hAnsi="隶书" w:cs="隶书" w:eastAsia="隶书" w:hint="default"/>
          <w:sz w:val="72"/>
          <w:szCs w:val="72"/>
        </w:rPr>
      </w:pPr>
      <w:r>
        <w:rPr>
          <w:rFonts w:ascii="隶书" w:hAnsi="隶书" w:cs="隶书" w:eastAsia="隶书" w:hint="default"/>
          <w:b/>
          <w:bCs/>
          <w:color w:val="FF0000"/>
          <w:spacing w:val="2"/>
          <w:sz w:val="72"/>
          <w:szCs w:val="72"/>
        </w:rPr>
        <w:t>茂业通信网络股份有限公司</w:t>
      </w:r>
      <w:r>
        <w:rPr>
          <w:rFonts w:ascii="隶书" w:hAnsi="隶书" w:cs="隶书" w:eastAsia="隶书" w:hint="default"/>
          <w:spacing w:val="2"/>
          <w:sz w:val="72"/>
          <w:szCs w:val="72"/>
        </w:rPr>
      </w:r>
    </w:p>
    <w:p>
      <w:pPr>
        <w:spacing w:line="939" w:lineRule="exact" w:before="0"/>
        <w:ind w:left="70" w:right="74" w:firstLine="0"/>
        <w:jc w:val="center"/>
        <w:rPr>
          <w:rFonts w:ascii="隶书" w:hAnsi="隶书" w:cs="隶书" w:eastAsia="隶书" w:hint="default"/>
          <w:sz w:val="72"/>
          <w:szCs w:val="72"/>
        </w:rPr>
      </w:pPr>
      <w:r>
        <w:rPr>
          <w:rFonts w:ascii="隶书" w:hAnsi="隶书" w:cs="隶书" w:eastAsia="隶书" w:hint="default"/>
          <w:b/>
          <w:bCs/>
          <w:color w:val="FF0000"/>
          <w:sz w:val="72"/>
          <w:szCs w:val="72"/>
        </w:rPr>
        <w:t>2017</w:t>
      </w:r>
      <w:r>
        <w:rPr>
          <w:rFonts w:ascii="隶书" w:hAnsi="隶书" w:cs="隶书" w:eastAsia="隶书" w:hint="default"/>
          <w:b/>
          <w:bCs/>
          <w:color w:val="FF0000"/>
          <w:spacing w:val="-198"/>
          <w:sz w:val="72"/>
          <w:szCs w:val="72"/>
        </w:rPr>
        <w:t> </w:t>
      </w:r>
      <w:r>
        <w:rPr>
          <w:rFonts w:ascii="隶书" w:hAnsi="隶书" w:cs="隶书" w:eastAsia="隶书" w:hint="default"/>
          <w:b/>
          <w:bCs/>
          <w:color w:val="FF0000"/>
          <w:spacing w:val="2"/>
          <w:sz w:val="72"/>
          <w:szCs w:val="72"/>
        </w:rPr>
        <w:t>年年度报告</w:t>
      </w:r>
      <w:r>
        <w:rPr>
          <w:rFonts w:ascii="隶书" w:hAnsi="隶书" w:cs="隶书" w:eastAsia="隶书" w:hint="default"/>
          <w:spacing w:val="2"/>
          <w:sz w:val="72"/>
          <w:szCs w:val="72"/>
        </w:rPr>
      </w:r>
    </w:p>
    <w:p>
      <w:pPr>
        <w:spacing w:line="240" w:lineRule="auto" w:before="0"/>
        <w:rPr>
          <w:rFonts w:ascii="隶书" w:hAnsi="隶书" w:cs="隶书" w:eastAsia="隶书" w:hint="default"/>
          <w:b/>
          <w:bCs/>
          <w:sz w:val="72"/>
          <w:szCs w:val="72"/>
        </w:rPr>
      </w:pPr>
    </w:p>
    <w:p>
      <w:pPr>
        <w:spacing w:line="240" w:lineRule="auto" w:before="0"/>
        <w:rPr>
          <w:rFonts w:ascii="隶书" w:hAnsi="隶书" w:cs="隶书" w:eastAsia="隶书" w:hint="default"/>
          <w:b/>
          <w:bCs/>
          <w:sz w:val="72"/>
          <w:szCs w:val="72"/>
        </w:rPr>
      </w:pPr>
    </w:p>
    <w:p>
      <w:pPr>
        <w:spacing w:line="240" w:lineRule="auto" w:before="0"/>
        <w:rPr>
          <w:rFonts w:ascii="隶书" w:hAnsi="隶书" w:cs="隶书" w:eastAsia="隶书" w:hint="default"/>
          <w:b/>
          <w:bCs/>
          <w:sz w:val="72"/>
          <w:szCs w:val="72"/>
        </w:rPr>
      </w:pPr>
    </w:p>
    <w:p>
      <w:pPr>
        <w:spacing w:line="240" w:lineRule="auto" w:before="0"/>
        <w:rPr>
          <w:rFonts w:ascii="隶书" w:hAnsi="隶书" w:cs="隶书" w:eastAsia="隶书" w:hint="default"/>
          <w:b/>
          <w:bCs/>
          <w:sz w:val="72"/>
          <w:szCs w:val="72"/>
        </w:rPr>
      </w:pPr>
    </w:p>
    <w:p>
      <w:pPr>
        <w:spacing w:line="240" w:lineRule="auto" w:before="0"/>
        <w:rPr>
          <w:rFonts w:ascii="隶书" w:hAnsi="隶书" w:cs="隶书" w:eastAsia="隶书" w:hint="default"/>
          <w:b/>
          <w:bCs/>
          <w:sz w:val="72"/>
          <w:szCs w:val="72"/>
        </w:rPr>
      </w:pPr>
    </w:p>
    <w:p>
      <w:pPr>
        <w:spacing w:line="240" w:lineRule="auto" w:before="4"/>
        <w:rPr>
          <w:rFonts w:ascii="隶书" w:hAnsi="隶书" w:cs="隶书" w:eastAsia="隶书" w:hint="default"/>
          <w:b/>
          <w:bCs/>
          <w:sz w:val="105"/>
          <w:szCs w:val="105"/>
        </w:rPr>
      </w:pPr>
    </w:p>
    <w:p>
      <w:pPr>
        <w:spacing w:before="0"/>
        <w:ind w:left="70" w:right="76"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宋体" w:hAnsi="宋体" w:cs="宋体" w:eastAsia="宋体" w:hint="default"/>
          <w:b/>
          <w:bCs/>
          <w:sz w:val="32"/>
          <w:szCs w:val="32"/>
        </w:rPr>
        <w:t>13</w:t>
      </w:r>
      <w:r>
        <w:rPr>
          <w:rFonts w:ascii="宋体" w:hAnsi="宋体" w:cs="宋体" w:eastAsia="宋体" w:hint="default"/>
          <w:b/>
          <w:bCs/>
          <w:spacing w:val="-85"/>
          <w:sz w:val="32"/>
          <w:szCs w:val="32"/>
        </w:rPr>
        <w:t> </w:t>
      </w:r>
      <w:r>
        <w:rPr>
          <w:rFonts w:ascii="宋体" w:hAnsi="宋体" w:cs="宋体" w:eastAsia="宋体" w:hint="default"/>
          <w:b/>
          <w:bCs/>
          <w:sz w:val="32"/>
          <w:szCs w:val="32"/>
        </w:rPr>
        <w:t>日编制</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580" w:bottom="280" w:left="1540" w:right="14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spacing w:before="0"/>
        <w:ind w:left="2491" w:right="46" w:firstLine="0"/>
        <w:jc w:val="left"/>
        <w:rPr>
          <w:rFonts w:ascii="宋体" w:hAnsi="宋体" w:cs="宋体" w:eastAsia="宋体" w:hint="default"/>
          <w:sz w:val="32"/>
          <w:szCs w:val="32"/>
        </w:rPr>
      </w:pPr>
      <w:r>
        <w:rPr>
          <w:rFonts w:ascii="宋体" w:hAnsi="宋体" w:cs="宋体" w:eastAsia="宋体" w:hint="default"/>
          <w:b/>
          <w:bCs/>
          <w:sz w:val="32"/>
          <w:szCs w:val="32"/>
        </w:rPr>
        <w:t>第一章</w:t>
      </w:r>
      <w:r>
        <w:rPr>
          <w:rFonts w:ascii="宋体" w:hAnsi="宋体" w:cs="宋体" w:eastAsia="宋体" w:hint="default"/>
          <w:b/>
          <w:bCs/>
          <w:spacing w:val="-6"/>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before="14"/>
        <w:ind w:left="153" w:right="46" w:firstLine="0"/>
        <w:jc w:val="left"/>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33"/>
          <w:szCs w:val="33"/>
        </w:rPr>
      </w:pPr>
    </w:p>
    <w:p>
      <w:pPr>
        <w:pStyle w:val="BodyText"/>
        <w:spacing w:line="333" w:lineRule="auto" w:before="0"/>
        <w:ind w:left="153" w:right="213" w:firstLine="420"/>
        <w:jc w:val="both"/>
      </w:pPr>
      <w:r>
        <w:rPr/>
        <w:t>1、本公司董事会、监事会及董事、监事、高级管理人员保证年度报告内容的真实、准确、完</w:t>
      </w:r>
      <w:r>
        <w:rPr>
          <w:w w:val="100"/>
        </w:rPr>
        <w:t> </w:t>
      </w:r>
      <w:r>
        <w:rPr/>
        <w:t>整，不存在虚假记载、误导性陈述或重大遗漏，并承担个别和连带的法律责任。</w:t>
      </w:r>
    </w:p>
    <w:p>
      <w:pPr>
        <w:spacing w:line="240" w:lineRule="auto" w:before="0"/>
        <w:rPr>
          <w:rFonts w:ascii="宋体" w:hAnsi="宋体" w:cs="宋体" w:eastAsia="宋体" w:hint="default"/>
          <w:sz w:val="20"/>
          <w:szCs w:val="20"/>
        </w:rPr>
      </w:pPr>
    </w:p>
    <w:p>
      <w:pPr>
        <w:pStyle w:val="BodyText"/>
        <w:spacing w:line="333" w:lineRule="auto" w:before="140"/>
        <w:ind w:left="153" w:right="212" w:firstLine="420"/>
        <w:jc w:val="both"/>
      </w:pPr>
      <w:r>
        <w:rPr/>
        <w:t>2、公司负责人吴鹰、主管会计工作负责人汪强及会计机构负责人张雷声明：保证年度报告中</w:t>
      </w:r>
      <w:r>
        <w:rPr>
          <w:w w:val="100"/>
        </w:rPr>
        <w:t> </w:t>
      </w:r>
      <w:r>
        <w:rPr/>
        <w:t>财务报告的真实、准确、完整。</w:t>
      </w:r>
    </w:p>
    <w:p>
      <w:pPr>
        <w:spacing w:line="240" w:lineRule="auto" w:before="0"/>
        <w:rPr>
          <w:rFonts w:ascii="宋体" w:hAnsi="宋体" w:cs="宋体" w:eastAsia="宋体" w:hint="default"/>
          <w:sz w:val="20"/>
          <w:szCs w:val="20"/>
        </w:rPr>
      </w:pPr>
    </w:p>
    <w:p>
      <w:pPr>
        <w:pStyle w:val="BodyText"/>
        <w:spacing w:line="240" w:lineRule="auto" w:before="140"/>
        <w:ind w:right="46"/>
        <w:jc w:val="left"/>
      </w:pPr>
      <w:r>
        <w:rPr/>
        <w:t>3、所有董事亲自出席了审议本次年报的董事会会议。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0"/>
        <w:ind w:right="46"/>
        <w:jc w:val="left"/>
      </w:pPr>
      <w:r>
        <w:rPr/>
        <w:t>4、执行审计的中兴华会计师事务所(特殊普通合伙)对公司出具了标准无保留意见的审计报告。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31" w:lineRule="auto" w:before="0"/>
        <w:ind w:left="153" w:right="210" w:firstLine="420"/>
        <w:jc w:val="both"/>
      </w:pPr>
      <w:r>
        <w:rPr/>
        <w:t>5、公司年度报告涉及未来计划等前瞻性陈述，同时附有相应的警示性陈述，公司声明：该计</w:t>
      </w:r>
      <w:r>
        <w:rPr>
          <w:w w:val="100"/>
        </w:rPr>
        <w:t> </w:t>
      </w:r>
      <w:r>
        <w:rPr>
          <w:spacing w:val="-2"/>
        </w:rPr>
        <w:t>划不构成公司对投资者的实质承诺，投资者及相关人士均应当对此保持足够的风险认识，并且应当</w:t>
      </w:r>
      <w:r>
        <w:rPr>
          <w:spacing w:val="-43"/>
        </w:rPr>
        <w:t> </w:t>
      </w:r>
      <w:r>
        <w:rPr>
          <w:spacing w:val="-43"/>
        </w:rPr>
      </w:r>
      <w:r>
        <w:rPr/>
        <w:t>理解计划、预测与承诺之间的差异。</w:t>
      </w:r>
    </w:p>
    <w:p>
      <w:pPr>
        <w:spacing w:line="240" w:lineRule="auto" w:before="0"/>
        <w:rPr>
          <w:rFonts w:ascii="宋体" w:hAnsi="宋体" w:cs="宋体" w:eastAsia="宋体" w:hint="default"/>
          <w:sz w:val="20"/>
          <w:szCs w:val="20"/>
        </w:rPr>
      </w:pPr>
    </w:p>
    <w:p>
      <w:pPr>
        <w:pStyle w:val="BodyText"/>
        <w:spacing w:line="331" w:lineRule="auto" w:before="144"/>
        <w:ind w:left="153" w:right="212" w:firstLine="420"/>
        <w:jc w:val="both"/>
      </w:pPr>
      <w:r>
        <w:rPr/>
        <w:t>6、本公司请投资者认真阅读本年度报告全文，公司可能面对的风险包括可能的商誉减值风险</w:t>
      </w:r>
      <w:r>
        <w:rPr>
          <w:w w:val="100"/>
        </w:rPr>
        <w:t> </w:t>
      </w:r>
      <w:r>
        <w:rPr>
          <w:spacing w:val="-2"/>
        </w:rPr>
        <w:t>因素、信息服务的客户集中度上升、流失及新技术替代的风险因素、通信网络维护的技术竞争和客</w:t>
      </w:r>
      <w:r>
        <w:rPr>
          <w:spacing w:val="-49"/>
        </w:rPr>
        <w:t> </w:t>
      </w:r>
      <w:r>
        <w:rPr>
          <w:spacing w:val="-49"/>
        </w:rPr>
      </w:r>
      <w:r>
        <w:rPr/>
        <w:t>户依赖的风险因素，有关内容可阅读本年报第四章第三节“四、可能面对的风险”部分。</w:t>
      </w:r>
    </w:p>
    <w:p>
      <w:pPr>
        <w:spacing w:line="240" w:lineRule="auto" w:before="0"/>
        <w:rPr>
          <w:rFonts w:ascii="宋体" w:hAnsi="宋体" w:cs="宋体" w:eastAsia="宋体" w:hint="default"/>
          <w:sz w:val="20"/>
          <w:szCs w:val="20"/>
        </w:rPr>
      </w:pPr>
    </w:p>
    <w:p>
      <w:pPr>
        <w:pStyle w:val="BodyText"/>
        <w:spacing w:line="333" w:lineRule="auto" w:before="142"/>
        <w:ind w:left="153" w:right="46" w:firstLine="422"/>
        <w:jc w:val="left"/>
      </w:pPr>
      <w:r>
        <w:rPr>
          <w:spacing w:val="-7"/>
        </w:rPr>
        <w:t>7、公司经本次董事会审议通过的利润分配预案为：以</w:t>
      </w:r>
      <w:r>
        <w:rPr>
          <w:spacing w:val="-47"/>
        </w:rPr>
        <w:t> </w:t>
      </w:r>
      <w:r>
        <w:rPr/>
        <w:t>2017</w:t>
      </w:r>
      <w:r>
        <w:rPr>
          <w:spacing w:val="-49"/>
        </w:rPr>
        <w:t> </w:t>
      </w:r>
      <w:r>
        <w:rPr/>
        <w:t>年</w:t>
      </w:r>
      <w:r>
        <w:rPr>
          <w:spacing w:val="-47"/>
        </w:rPr>
        <w:t> </w:t>
      </w:r>
      <w:r>
        <w:rPr/>
        <w:t>12</w:t>
      </w:r>
      <w:r>
        <w:rPr>
          <w:spacing w:val="-49"/>
        </w:rPr>
        <w:t> </w:t>
      </w:r>
      <w:r>
        <w:rPr/>
        <w:t>月</w:t>
      </w:r>
      <w:r>
        <w:rPr>
          <w:spacing w:val="-47"/>
        </w:rPr>
        <w:t> </w:t>
      </w:r>
      <w:r>
        <w:rPr/>
        <w:t>31</w:t>
      </w:r>
      <w:r>
        <w:rPr>
          <w:spacing w:val="-49"/>
        </w:rPr>
        <w:t> </w:t>
      </w:r>
      <w:r>
        <w:rPr/>
        <w:t>日的公司总股本为基数，</w:t>
      </w:r>
      <w:r>
        <w:rPr>
          <w:w w:val="100"/>
        </w:rPr>
        <w:t> </w:t>
      </w:r>
      <w:r>
        <w:rPr/>
        <w:t>向全体股东每</w:t>
      </w:r>
      <w:r>
        <w:rPr>
          <w:spacing w:val="-55"/>
        </w:rPr>
        <w:t> </w:t>
      </w:r>
      <w:r>
        <w:rPr/>
        <w:t>10</w:t>
      </w:r>
      <w:r>
        <w:rPr>
          <w:spacing w:val="-55"/>
        </w:rPr>
        <w:t> </w:t>
      </w:r>
      <w:r>
        <w:rPr/>
        <w:t>股派发现金红利</w:t>
      </w:r>
      <w:r>
        <w:rPr>
          <w:spacing w:val="-55"/>
        </w:rPr>
        <w:t> </w:t>
      </w:r>
      <w:r>
        <w:rPr/>
        <w:t>0.37</w:t>
      </w:r>
      <w:r>
        <w:rPr>
          <w:spacing w:val="-55"/>
        </w:rPr>
        <w:t> </w:t>
      </w:r>
      <w:r>
        <w:rPr/>
        <w:t>元(含税)，送红股</w:t>
      </w:r>
      <w:r>
        <w:rPr>
          <w:spacing w:val="-55"/>
        </w:rPr>
        <w:t> </w:t>
      </w:r>
      <w:r>
        <w:rPr/>
        <w:t>0</w:t>
      </w:r>
      <w:r>
        <w:rPr>
          <w:spacing w:val="-57"/>
        </w:rPr>
        <w:t> </w:t>
      </w:r>
      <w:r>
        <w:rPr/>
        <w:t>股(含税)，不以公积金转增股本。</w:t>
      </w:r>
    </w:p>
    <w:p>
      <w:pPr>
        <w:spacing w:after="0" w:line="333" w:lineRule="auto"/>
        <w:jc w:val="left"/>
        <w:sectPr>
          <w:headerReference w:type="default" r:id="rId6"/>
          <w:footerReference w:type="default" r:id="rId7"/>
          <w:pgSz w:w="11910" w:h="16840"/>
          <w:pgMar w:header="884" w:footer="1000" w:top="1140" w:bottom="1200" w:left="1320" w:right="1200"/>
          <w:pgNumType w:start="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14"/>
        <w:ind w:left="13" w:right="0" w:firstLine="0"/>
        <w:jc w:val="center"/>
        <w:rPr>
          <w:rFonts w:ascii="宋体" w:hAnsi="宋体" w:cs="宋体" w:eastAsia="宋体" w:hint="default"/>
          <w:sz w:val="28"/>
          <w:szCs w:val="28"/>
        </w:rPr>
      </w:pPr>
      <w:r>
        <w:rPr>
          <w:rFonts w:ascii="宋体" w:hAnsi="宋体" w:cs="宋体" w:eastAsia="宋体" w:hint="default"/>
          <w:b/>
          <w:bCs/>
          <w:sz w:val="28"/>
          <w:szCs w:val="28"/>
        </w:rPr>
        <w:t>目</w:t>
      </w:r>
      <w:r>
        <w:rPr>
          <w:rFonts w:ascii="宋体" w:hAnsi="宋体" w:cs="宋体" w:eastAsia="宋体" w:hint="default"/>
          <w:b/>
          <w:bCs/>
          <w:spacing w:val="-1"/>
          <w:sz w:val="28"/>
          <w:szCs w:val="28"/>
        </w:rPr>
        <w:t> </w:t>
      </w:r>
      <w:r>
        <w:rPr>
          <w:rFonts w:ascii="宋体" w:hAnsi="宋体" w:cs="宋体" w:eastAsia="宋体" w:hint="default"/>
          <w:b/>
          <w:bCs/>
          <w:sz w:val="28"/>
          <w:szCs w:val="28"/>
        </w:rPr>
        <w:t>录</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720"/>
        <w:gridCol w:w="7981"/>
        <w:gridCol w:w="299"/>
      </w:tblGrid>
      <w:tr>
        <w:trPr>
          <w:trHeight w:val="47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第一章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重要提示、目录和释义</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center"/>
              <w:rPr>
                <w:rFonts w:ascii="宋体" w:hAnsi="宋体" w:cs="宋体" w:eastAsia="宋体" w:hint="default"/>
                <w:sz w:val="21"/>
                <w:szCs w:val="21"/>
              </w:rPr>
            </w:pPr>
            <w:r>
              <w:rPr>
                <w:rFonts w:ascii="宋体"/>
                <w:w w:val="100"/>
                <w:sz w:val="21"/>
              </w:rPr>
              <w:t>1</w:t>
            </w:r>
          </w:p>
        </w:tc>
      </w:tr>
      <w:tr>
        <w:trPr>
          <w:trHeight w:val="53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1"/>
                <w:szCs w:val="21"/>
              </w:rPr>
            </w:pPr>
            <w:r>
              <w:rPr>
                <w:rFonts w:ascii="宋体" w:hAnsi="宋体" w:cs="宋体" w:eastAsia="宋体" w:hint="default"/>
                <w:sz w:val="21"/>
                <w:szCs w:val="21"/>
              </w:rPr>
              <w:t>第二章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公司简介和主要财务指标</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0"/>
              <w:jc w:val="center"/>
              <w:rPr>
                <w:rFonts w:ascii="宋体" w:hAnsi="宋体" w:cs="宋体" w:eastAsia="宋体" w:hint="default"/>
                <w:sz w:val="21"/>
                <w:szCs w:val="21"/>
              </w:rPr>
            </w:pPr>
            <w:r>
              <w:rPr>
                <w:rFonts w:ascii="宋体"/>
                <w:w w:val="100"/>
                <w:sz w:val="21"/>
              </w:rPr>
              <w:t>4</w:t>
            </w:r>
          </w:p>
        </w:tc>
      </w:tr>
      <w:tr>
        <w:trPr>
          <w:trHeight w:val="53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第三章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 w:right="0"/>
              <w:jc w:val="center"/>
              <w:rPr>
                <w:rFonts w:ascii="宋体" w:hAnsi="宋体" w:cs="宋体" w:eastAsia="宋体" w:hint="default"/>
                <w:sz w:val="21"/>
                <w:szCs w:val="21"/>
              </w:rPr>
            </w:pPr>
            <w:r>
              <w:rPr>
                <w:rFonts w:ascii="宋体" w:hAnsi="宋体" w:cs="宋体" w:eastAsia="宋体" w:hint="default"/>
                <w:sz w:val="21"/>
                <w:szCs w:val="21"/>
              </w:rPr>
              <w:t>公司业务概要</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0"/>
              <w:jc w:val="center"/>
              <w:rPr>
                <w:rFonts w:ascii="宋体" w:hAnsi="宋体" w:cs="宋体" w:eastAsia="宋体" w:hint="default"/>
                <w:sz w:val="21"/>
                <w:szCs w:val="21"/>
              </w:rPr>
            </w:pPr>
            <w:r>
              <w:rPr>
                <w:rFonts w:ascii="宋体"/>
                <w:w w:val="100"/>
                <w:sz w:val="21"/>
              </w:rPr>
              <w:t>6</w:t>
            </w:r>
          </w:p>
        </w:tc>
      </w:tr>
      <w:tr>
        <w:trPr>
          <w:trHeight w:val="47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第四章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经营情况讨论与分析</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 w:right="0"/>
              <w:jc w:val="center"/>
              <w:rPr>
                <w:rFonts w:ascii="宋体" w:hAnsi="宋体" w:cs="宋体" w:eastAsia="宋体" w:hint="default"/>
                <w:sz w:val="21"/>
                <w:szCs w:val="21"/>
              </w:rPr>
            </w:pPr>
            <w:r>
              <w:rPr>
                <w:rFonts w:ascii="宋体"/>
                <w:sz w:val="21"/>
              </w:rPr>
              <w:t>12</w:t>
            </w:r>
          </w:p>
        </w:tc>
      </w:tr>
      <w:tr>
        <w:trPr>
          <w:trHeight w:val="39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概述</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 w:right="0"/>
              <w:jc w:val="center"/>
              <w:rPr>
                <w:rFonts w:ascii="宋体" w:hAnsi="宋体" w:cs="宋体" w:eastAsia="宋体" w:hint="default"/>
                <w:sz w:val="21"/>
                <w:szCs w:val="21"/>
              </w:rPr>
            </w:pPr>
            <w:r>
              <w:rPr>
                <w:rFonts w:ascii="宋体"/>
                <w:sz w:val="21"/>
              </w:rPr>
              <w:t>12</w:t>
            </w:r>
          </w:p>
        </w:tc>
      </w:tr>
      <w:tr>
        <w:trPr>
          <w:trHeight w:val="379"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主营业务分析</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 w:right="0"/>
              <w:jc w:val="center"/>
              <w:rPr>
                <w:rFonts w:ascii="宋体" w:hAnsi="宋体" w:cs="宋体" w:eastAsia="宋体" w:hint="default"/>
                <w:sz w:val="21"/>
                <w:szCs w:val="21"/>
              </w:rPr>
            </w:pPr>
            <w:r>
              <w:rPr>
                <w:rFonts w:ascii="宋体"/>
                <w:sz w:val="21"/>
              </w:rPr>
              <w:t>14</w:t>
            </w:r>
          </w:p>
        </w:tc>
      </w:tr>
      <w:tr>
        <w:trPr>
          <w:trHeight w:val="45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第三节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公司未来发展的展望</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0"/>
              <w:jc w:val="center"/>
              <w:rPr>
                <w:rFonts w:ascii="宋体" w:hAnsi="宋体" w:cs="宋体" w:eastAsia="宋体" w:hint="default"/>
                <w:sz w:val="21"/>
                <w:szCs w:val="21"/>
              </w:rPr>
            </w:pPr>
            <w:r>
              <w:rPr>
                <w:rFonts w:ascii="宋体"/>
                <w:sz w:val="21"/>
              </w:rPr>
              <w:t>23</w:t>
            </w:r>
          </w:p>
        </w:tc>
      </w:tr>
      <w:tr>
        <w:trPr>
          <w:trHeight w:val="47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1"/>
                <w:szCs w:val="21"/>
              </w:rPr>
            </w:pPr>
            <w:r>
              <w:rPr>
                <w:rFonts w:ascii="宋体" w:hAnsi="宋体" w:cs="宋体" w:eastAsia="宋体" w:hint="default"/>
                <w:sz w:val="21"/>
                <w:szCs w:val="21"/>
              </w:rPr>
              <w:t>第五章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 w:right="0"/>
              <w:jc w:val="center"/>
              <w:rPr>
                <w:rFonts w:ascii="宋体" w:hAnsi="宋体" w:cs="宋体" w:eastAsia="宋体" w:hint="default"/>
                <w:sz w:val="21"/>
                <w:szCs w:val="21"/>
              </w:rPr>
            </w:pPr>
            <w:r>
              <w:rPr>
                <w:rFonts w:ascii="宋体" w:hAnsi="宋体" w:cs="宋体" w:eastAsia="宋体" w:hint="default"/>
                <w:sz w:val="21"/>
                <w:szCs w:val="21"/>
              </w:rPr>
              <w:t>重要事项</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 w:right="0"/>
              <w:jc w:val="center"/>
              <w:rPr>
                <w:rFonts w:ascii="宋体" w:hAnsi="宋体" w:cs="宋体" w:eastAsia="宋体" w:hint="default"/>
                <w:sz w:val="21"/>
                <w:szCs w:val="21"/>
              </w:rPr>
            </w:pPr>
            <w:r>
              <w:rPr>
                <w:rFonts w:ascii="宋体"/>
                <w:sz w:val="21"/>
              </w:rPr>
              <w:t>30</w:t>
            </w:r>
          </w:p>
        </w:tc>
      </w:tr>
      <w:tr>
        <w:trPr>
          <w:trHeight w:val="39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普通股利润分配情况</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 w:right="0"/>
              <w:jc w:val="center"/>
              <w:rPr>
                <w:rFonts w:ascii="宋体" w:hAnsi="宋体" w:cs="宋体" w:eastAsia="宋体" w:hint="default"/>
                <w:sz w:val="21"/>
                <w:szCs w:val="21"/>
              </w:rPr>
            </w:pPr>
            <w:r>
              <w:rPr>
                <w:rFonts w:ascii="宋体"/>
                <w:sz w:val="21"/>
              </w:rPr>
              <w:t>30</w:t>
            </w:r>
          </w:p>
        </w:tc>
      </w:tr>
      <w:tr>
        <w:trPr>
          <w:trHeight w:val="379"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承诺事项履行情况</w:t>
            </w:r>
            <w:r>
              <w:rPr>
                <w:rFonts w:ascii="宋体" w:hAnsi="宋体" w:cs="宋体" w:eastAsia="宋体" w:hint="default"/>
                <w:spacing w:val="-9"/>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0"/>
              <w:jc w:val="center"/>
              <w:rPr>
                <w:rFonts w:ascii="宋体" w:hAnsi="宋体" w:cs="宋体" w:eastAsia="宋体" w:hint="default"/>
                <w:sz w:val="21"/>
                <w:szCs w:val="21"/>
              </w:rPr>
            </w:pPr>
            <w:r>
              <w:rPr>
                <w:rFonts w:ascii="宋体"/>
                <w:sz w:val="21"/>
              </w:rPr>
              <w:t>31</w:t>
            </w:r>
          </w:p>
        </w:tc>
      </w:tr>
      <w:tr>
        <w:trPr>
          <w:trHeight w:val="380"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第三节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资金占用、会计政策及报表合并范围变化、诉讼(仲裁)等事项</w:t>
            </w:r>
            <w:r>
              <w:rPr>
                <w:rFonts w:ascii="宋体" w:hAnsi="宋体" w:cs="宋体" w:eastAsia="宋体" w:hint="default"/>
                <w:spacing w:val="-11"/>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0"/>
              <w:jc w:val="center"/>
              <w:rPr>
                <w:rFonts w:ascii="宋体" w:hAnsi="宋体" w:cs="宋体" w:eastAsia="宋体" w:hint="default"/>
                <w:sz w:val="21"/>
                <w:szCs w:val="21"/>
              </w:rPr>
            </w:pPr>
            <w:r>
              <w:rPr>
                <w:rFonts w:ascii="宋体"/>
                <w:sz w:val="21"/>
              </w:rPr>
              <w:t>38</w:t>
            </w:r>
          </w:p>
        </w:tc>
      </w:tr>
      <w:tr>
        <w:trPr>
          <w:trHeight w:val="380"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第四节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关联交易事项</w:t>
            </w:r>
            <w:r>
              <w:rPr>
                <w:rFonts w:ascii="宋体" w:hAnsi="宋体" w:cs="宋体" w:eastAsia="宋体" w:hint="default"/>
                <w:spacing w:val="-8"/>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 w:right="0"/>
              <w:jc w:val="center"/>
              <w:rPr>
                <w:rFonts w:ascii="宋体" w:hAnsi="宋体" w:cs="宋体" w:eastAsia="宋体" w:hint="default"/>
                <w:sz w:val="21"/>
                <w:szCs w:val="21"/>
              </w:rPr>
            </w:pPr>
            <w:r>
              <w:rPr>
                <w:rFonts w:ascii="宋体"/>
                <w:sz w:val="21"/>
              </w:rPr>
              <w:t>39</w:t>
            </w:r>
          </w:p>
        </w:tc>
      </w:tr>
      <w:tr>
        <w:trPr>
          <w:trHeight w:val="379"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第五节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合同及其履行情况等事项</w:t>
            </w:r>
            <w:r>
              <w:rPr>
                <w:rFonts w:ascii="宋体" w:hAnsi="宋体" w:cs="宋体" w:eastAsia="宋体" w:hint="default"/>
                <w:spacing w:val="-9"/>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0"/>
              <w:jc w:val="center"/>
              <w:rPr>
                <w:rFonts w:ascii="宋体" w:hAnsi="宋体" w:cs="宋体" w:eastAsia="宋体" w:hint="default"/>
                <w:sz w:val="21"/>
                <w:szCs w:val="21"/>
              </w:rPr>
            </w:pPr>
            <w:r>
              <w:rPr>
                <w:rFonts w:ascii="宋体"/>
                <w:sz w:val="21"/>
              </w:rPr>
              <w:t>40</w:t>
            </w:r>
          </w:p>
        </w:tc>
      </w:tr>
      <w:tr>
        <w:trPr>
          <w:trHeight w:val="380"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z w:val="21"/>
                <w:szCs w:val="21"/>
              </w:rPr>
              <w:t>第六节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21"/>
                <w:szCs w:val="21"/>
              </w:rPr>
            </w:pPr>
            <w:r>
              <w:rPr>
                <w:rFonts w:ascii="宋体" w:hAnsi="宋体" w:cs="宋体" w:eastAsia="宋体" w:hint="default"/>
                <w:sz w:val="21"/>
                <w:szCs w:val="21"/>
              </w:rPr>
              <w:t>履行社会责任情况</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0"/>
              <w:jc w:val="center"/>
              <w:rPr>
                <w:rFonts w:ascii="宋体" w:hAnsi="宋体" w:cs="宋体" w:eastAsia="宋体" w:hint="default"/>
                <w:sz w:val="21"/>
                <w:szCs w:val="21"/>
              </w:rPr>
            </w:pPr>
            <w:r>
              <w:rPr>
                <w:rFonts w:ascii="宋体"/>
                <w:sz w:val="21"/>
              </w:rPr>
              <w:t>43</w:t>
            </w:r>
          </w:p>
        </w:tc>
      </w:tr>
      <w:tr>
        <w:trPr>
          <w:trHeight w:val="45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第七节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其他重大事项</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 w:right="0"/>
              <w:jc w:val="center"/>
              <w:rPr>
                <w:rFonts w:ascii="宋体" w:hAnsi="宋体" w:cs="宋体" w:eastAsia="宋体" w:hint="default"/>
                <w:sz w:val="21"/>
                <w:szCs w:val="21"/>
              </w:rPr>
            </w:pPr>
            <w:r>
              <w:rPr>
                <w:rFonts w:ascii="宋体"/>
                <w:sz w:val="21"/>
              </w:rPr>
              <w:t>44</w:t>
            </w:r>
          </w:p>
        </w:tc>
      </w:tr>
      <w:tr>
        <w:trPr>
          <w:trHeight w:val="47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第六章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股份变动及股东情况</w:t>
            </w:r>
            <w:r>
              <w:rPr>
                <w:rFonts w:ascii="宋体" w:hAnsi="宋体" w:cs="宋体" w:eastAsia="宋体" w:hint="default"/>
                <w:spacing w:val="-10"/>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 w:right="0"/>
              <w:jc w:val="center"/>
              <w:rPr>
                <w:rFonts w:ascii="宋体" w:hAnsi="宋体" w:cs="宋体" w:eastAsia="宋体" w:hint="default"/>
                <w:sz w:val="21"/>
                <w:szCs w:val="21"/>
              </w:rPr>
            </w:pPr>
            <w:r>
              <w:rPr>
                <w:rFonts w:ascii="宋体"/>
                <w:sz w:val="21"/>
              </w:rPr>
              <w:t>46</w:t>
            </w:r>
          </w:p>
        </w:tc>
      </w:tr>
      <w:tr>
        <w:trPr>
          <w:trHeight w:val="39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股份变动情况</w:t>
            </w:r>
            <w:r>
              <w:rPr>
                <w:rFonts w:ascii="宋体" w:hAnsi="宋体" w:cs="宋体" w:eastAsia="宋体" w:hint="default"/>
                <w:spacing w:val="-8"/>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 w:right="0"/>
              <w:jc w:val="center"/>
              <w:rPr>
                <w:rFonts w:ascii="宋体" w:hAnsi="宋体" w:cs="宋体" w:eastAsia="宋体" w:hint="default"/>
                <w:sz w:val="21"/>
                <w:szCs w:val="21"/>
              </w:rPr>
            </w:pPr>
            <w:r>
              <w:rPr>
                <w:rFonts w:ascii="宋体"/>
                <w:sz w:val="21"/>
              </w:rPr>
              <w:t>46</w:t>
            </w:r>
          </w:p>
        </w:tc>
      </w:tr>
      <w:tr>
        <w:trPr>
          <w:trHeight w:val="45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股东和实际控制人情况</w:t>
            </w:r>
            <w:r>
              <w:rPr>
                <w:rFonts w:ascii="宋体" w:hAnsi="宋体" w:cs="宋体" w:eastAsia="宋体" w:hint="default"/>
                <w:spacing w:val="-9"/>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 w:right="0"/>
              <w:jc w:val="center"/>
              <w:rPr>
                <w:rFonts w:ascii="宋体" w:hAnsi="宋体" w:cs="宋体" w:eastAsia="宋体" w:hint="default"/>
                <w:sz w:val="21"/>
                <w:szCs w:val="21"/>
              </w:rPr>
            </w:pPr>
            <w:r>
              <w:rPr>
                <w:rFonts w:ascii="宋体"/>
                <w:sz w:val="21"/>
              </w:rPr>
              <w:t>47</w:t>
            </w:r>
          </w:p>
        </w:tc>
      </w:tr>
      <w:tr>
        <w:trPr>
          <w:trHeight w:val="47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第七章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董事、监事、高级管理人员和员工情况</w:t>
            </w:r>
            <w:r>
              <w:rPr>
                <w:rFonts w:ascii="宋体" w:hAnsi="宋体" w:cs="宋体" w:eastAsia="宋体" w:hint="default"/>
                <w:spacing w:val="-9"/>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 w:right="0"/>
              <w:jc w:val="center"/>
              <w:rPr>
                <w:rFonts w:ascii="宋体" w:hAnsi="宋体" w:cs="宋体" w:eastAsia="宋体" w:hint="default"/>
                <w:sz w:val="21"/>
                <w:szCs w:val="21"/>
              </w:rPr>
            </w:pPr>
            <w:r>
              <w:rPr>
                <w:rFonts w:ascii="宋体"/>
                <w:sz w:val="21"/>
              </w:rPr>
              <w:t>52</w:t>
            </w:r>
          </w:p>
        </w:tc>
      </w:tr>
      <w:tr>
        <w:trPr>
          <w:trHeight w:val="39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高层人员情况</w:t>
            </w:r>
            <w:r>
              <w:rPr>
                <w:rFonts w:ascii="宋体" w:hAnsi="宋体" w:cs="宋体" w:eastAsia="宋体" w:hint="default"/>
                <w:spacing w:val="-8"/>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 w:right="0"/>
              <w:jc w:val="center"/>
              <w:rPr>
                <w:rFonts w:ascii="宋体" w:hAnsi="宋体" w:cs="宋体" w:eastAsia="宋体" w:hint="default"/>
                <w:sz w:val="21"/>
                <w:szCs w:val="21"/>
              </w:rPr>
            </w:pPr>
            <w:r>
              <w:rPr>
                <w:rFonts w:ascii="宋体"/>
                <w:sz w:val="21"/>
              </w:rPr>
              <w:t>52</w:t>
            </w:r>
          </w:p>
        </w:tc>
      </w:tr>
      <w:tr>
        <w:trPr>
          <w:trHeight w:val="45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公司员工情况</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 w:right="0"/>
              <w:jc w:val="center"/>
              <w:rPr>
                <w:rFonts w:ascii="宋体" w:hAnsi="宋体" w:cs="宋体" w:eastAsia="宋体" w:hint="default"/>
                <w:sz w:val="21"/>
                <w:szCs w:val="21"/>
              </w:rPr>
            </w:pPr>
            <w:r>
              <w:rPr>
                <w:rFonts w:ascii="宋体"/>
                <w:sz w:val="21"/>
              </w:rPr>
              <w:t>56</w:t>
            </w:r>
          </w:p>
        </w:tc>
      </w:tr>
      <w:tr>
        <w:trPr>
          <w:trHeight w:val="53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第八章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 w:right="0"/>
              <w:jc w:val="center"/>
              <w:rPr>
                <w:rFonts w:ascii="宋体" w:hAnsi="宋体" w:cs="宋体" w:eastAsia="宋体" w:hint="default"/>
                <w:sz w:val="21"/>
                <w:szCs w:val="21"/>
              </w:rPr>
            </w:pPr>
            <w:r>
              <w:rPr>
                <w:rFonts w:ascii="宋体" w:hAnsi="宋体" w:cs="宋体" w:eastAsia="宋体" w:hint="default"/>
                <w:sz w:val="21"/>
                <w:szCs w:val="21"/>
              </w:rPr>
              <w:t>公司治理</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 w:right="0"/>
              <w:jc w:val="center"/>
              <w:rPr>
                <w:rFonts w:ascii="宋体" w:hAnsi="宋体" w:cs="宋体" w:eastAsia="宋体" w:hint="default"/>
                <w:sz w:val="21"/>
                <w:szCs w:val="21"/>
              </w:rPr>
            </w:pPr>
            <w:r>
              <w:rPr>
                <w:rFonts w:ascii="宋体"/>
                <w:sz w:val="21"/>
              </w:rPr>
              <w:t>58</w:t>
            </w:r>
          </w:p>
        </w:tc>
      </w:tr>
      <w:tr>
        <w:trPr>
          <w:trHeight w:val="47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1"/>
                <w:szCs w:val="21"/>
              </w:rPr>
            </w:pPr>
            <w:r>
              <w:rPr>
                <w:rFonts w:ascii="宋体" w:hAnsi="宋体" w:cs="宋体" w:eastAsia="宋体" w:hint="default"/>
                <w:sz w:val="21"/>
                <w:szCs w:val="21"/>
              </w:rPr>
              <w:t>第九章</w:t>
            </w:r>
          </w:p>
        </w:tc>
        <w:tc>
          <w:tcPr>
            <w:tcW w:w="798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 w:right="0"/>
              <w:jc w:val="center"/>
              <w:rPr>
                <w:rFonts w:ascii="宋体" w:hAnsi="宋体" w:cs="宋体" w:eastAsia="宋体" w:hint="default"/>
                <w:sz w:val="21"/>
                <w:szCs w:val="21"/>
              </w:rPr>
            </w:pPr>
            <w:r>
              <w:rPr>
                <w:rFonts w:ascii="宋体" w:hAnsi="宋体" w:cs="宋体" w:eastAsia="宋体" w:hint="default"/>
                <w:sz w:val="21"/>
                <w:szCs w:val="21"/>
              </w:rPr>
              <w:t>财务报告</w:t>
            </w:r>
            <w:r>
              <w:rPr>
                <w:rFonts w:ascii="宋体" w:hAnsi="宋体" w:cs="宋体" w:eastAsia="宋体" w:hint="default"/>
                <w:spacing w:val="-7"/>
                <w:sz w:val="21"/>
                <w:szCs w:val="21"/>
              </w:rPr>
              <w:t> </w:t>
            </w:r>
            <w:r>
              <w:rPr>
                <w:rFonts w:ascii="宋体" w:hAnsi="宋体" w:cs="宋体" w:eastAsia="宋体" w:hint="default"/>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 w:right="0"/>
              <w:jc w:val="center"/>
              <w:rPr>
                <w:rFonts w:ascii="宋体" w:hAnsi="宋体" w:cs="宋体" w:eastAsia="宋体" w:hint="default"/>
                <w:sz w:val="21"/>
                <w:szCs w:val="21"/>
              </w:rPr>
            </w:pPr>
            <w:r>
              <w:rPr>
                <w:rFonts w:ascii="宋体"/>
                <w:sz w:val="21"/>
              </w:rPr>
              <w:t>60</w:t>
            </w:r>
          </w:p>
        </w:tc>
      </w:tr>
    </w:tbl>
    <w:sdt>
      <w:sdtPr>
        <w:docPartObj>
          <w:docPartGallery w:val="Table of Contents"/>
          <w:docPartUnique/>
        </w:docPartObj>
      </w:sdtPr>
      <w:sdtEndPr/>
      <w:sdtContent>
        <w:p>
          <w:pPr>
            <w:pStyle w:val="TOC2"/>
            <w:tabs>
              <w:tab w:pos="8875" w:val="left" w:leader="dot"/>
            </w:tabs>
            <w:spacing w:line="240" w:lineRule="auto" w:before="6"/>
            <w:ind w:right="0"/>
            <w:jc w:val="left"/>
          </w:pPr>
          <w:r>
            <w:fldChar w:fldCharType="begin"/>
          </w:r>
          <w:r>
            <w:instrText>TOC \o "1-2" \h \z \u </w:instrText>
          </w:r>
          <w:r>
            <w:fldChar w:fldCharType="separate"/>
          </w:r>
          <w:hyperlink w:history="true" w:anchor="_TOC_250003">
            <w:r>
              <w:rPr>
                <w:spacing w:val="-1"/>
              </w:rPr>
              <w:t>审计报告正文</w:t>
            </w:r>
            <w:r>
              <w:rPr>
                <w:rFonts w:ascii="Times New Roman" w:hAnsi="Times New Roman" w:cs="Times New Roman" w:eastAsia="Times New Roman" w:hint="default"/>
                <w:spacing w:val="-1"/>
              </w:rPr>
              <w:tab/>
            </w:r>
            <w:r>
              <w:rPr>
                <w:spacing w:val="-2"/>
              </w:rPr>
              <w:t>60</w:t>
            </w:r>
          </w:hyperlink>
        </w:p>
        <w:p>
          <w:pPr>
            <w:pStyle w:val="TOC2"/>
            <w:tabs>
              <w:tab w:pos="8875" w:val="left" w:leader="dot"/>
            </w:tabs>
            <w:spacing w:line="240" w:lineRule="auto"/>
            <w:ind w:right="0"/>
            <w:jc w:val="left"/>
          </w:pPr>
          <w:hyperlink w:history="true" w:anchor="_TOC_250002">
            <w:r>
              <w:rPr>
                <w:spacing w:val="-1"/>
              </w:rPr>
              <w:t>财务报表</w:t>
            </w:r>
            <w:r>
              <w:rPr>
                <w:rFonts w:ascii="Times New Roman" w:hAnsi="Times New Roman" w:cs="Times New Roman" w:eastAsia="Times New Roman" w:hint="default"/>
                <w:spacing w:val="-1"/>
              </w:rPr>
              <w:tab/>
            </w:r>
            <w:r>
              <w:rPr>
                <w:spacing w:val="-2"/>
              </w:rPr>
              <w:t>63</w:t>
            </w:r>
          </w:hyperlink>
        </w:p>
        <w:p>
          <w:pPr>
            <w:pStyle w:val="TOC2"/>
            <w:tabs>
              <w:tab w:pos="8875" w:val="left" w:leader="dot"/>
            </w:tabs>
            <w:spacing w:line="240" w:lineRule="auto"/>
            <w:ind w:right="0"/>
            <w:jc w:val="left"/>
          </w:pPr>
          <w:hyperlink w:history="true" w:anchor="_TOC_250001">
            <w:r>
              <w:rPr>
                <w:spacing w:val="-1"/>
              </w:rPr>
              <w:t>财务报表附注</w:t>
            </w:r>
            <w:r>
              <w:rPr>
                <w:rFonts w:ascii="Times New Roman" w:hAnsi="Times New Roman" w:cs="Times New Roman" w:eastAsia="Times New Roman" w:hint="default"/>
                <w:spacing w:val="-1"/>
              </w:rPr>
              <w:tab/>
            </w:r>
            <w:r>
              <w:rPr>
                <w:spacing w:val="-2"/>
              </w:rPr>
              <w:t>77</w:t>
            </w:r>
          </w:hyperlink>
        </w:p>
        <w:p>
          <w:pPr>
            <w:pStyle w:val="TOC1"/>
            <w:tabs>
              <w:tab w:pos="8858" w:val="left" w:leader="dot"/>
            </w:tabs>
            <w:spacing w:line="240" w:lineRule="auto"/>
            <w:ind w:right="0"/>
            <w:jc w:val="left"/>
          </w:pPr>
          <w:hyperlink w:history="true" w:anchor="_TOC_250000">
            <w:r>
              <w:rPr/>
              <w:t>第十章</w:t>
            </w:r>
            <w:r>
              <w:rPr>
                <w:spacing w:val="-1"/>
              </w:rPr>
              <w:t> </w:t>
            </w:r>
            <w:r>
              <w:rPr/>
              <w:t>备查文件目录</w:t>
            </w:r>
            <w:r>
              <w:rPr>
                <w:rFonts w:ascii="Times New Roman" w:hAnsi="Times New Roman" w:cs="Times New Roman" w:eastAsia="Times New Roman" w:hint="default"/>
              </w:rPr>
              <w:tab/>
            </w:r>
            <w:r>
              <w:rPr/>
              <w:t>127</w:t>
            </w:r>
          </w:hyperlink>
        </w:p>
        <w:p>
          <w:pPr/>
          <w:r>
            <w:fldChar w:fldCharType="end"/>
          </w:r>
        </w:p>
      </w:sdtContent>
    </w:sdt>
    <w:p>
      <w:pPr>
        <w:spacing w:after="0"/>
        <w:sectPr>
          <w:pgSz w:w="11910" w:h="16840"/>
          <w:pgMar w:header="884" w:footer="1000" w:top="1140" w:bottom="1200" w:left="1320" w:right="1280"/>
        </w:sectPr>
      </w:pPr>
    </w:p>
    <w:p>
      <w:pPr>
        <w:spacing w:before="229"/>
        <w:ind w:left="0" w:right="64" w:firstLine="0"/>
        <w:jc w:val="center"/>
        <w:rPr>
          <w:rFonts w:ascii="宋体" w:hAnsi="宋体" w:cs="宋体" w:eastAsia="宋体" w:hint="default"/>
          <w:sz w:val="28"/>
          <w:szCs w:val="28"/>
        </w:rPr>
      </w:pPr>
      <w:r>
        <w:rPr>
          <w:rFonts w:ascii="宋体" w:hAnsi="宋体" w:cs="宋体" w:eastAsia="宋体" w:hint="default"/>
          <w:b/>
          <w:bCs/>
          <w:sz w:val="28"/>
          <w:szCs w:val="28"/>
        </w:rPr>
        <w:t>释</w:t>
      </w:r>
      <w:r>
        <w:rPr>
          <w:rFonts w:ascii="宋体" w:hAnsi="宋体" w:cs="宋体" w:eastAsia="宋体" w:hint="default"/>
          <w:b/>
          <w:bCs/>
          <w:spacing w:val="-1"/>
          <w:sz w:val="28"/>
          <w:szCs w:val="28"/>
        </w:rPr>
        <w:t> </w:t>
      </w:r>
      <w:r>
        <w:rPr>
          <w:rFonts w:ascii="宋体" w:hAnsi="宋体" w:cs="宋体" w:eastAsia="宋体" w:hint="default"/>
          <w:b/>
          <w:bCs/>
          <w:sz w:val="28"/>
          <w:szCs w:val="28"/>
        </w:rPr>
        <w:t>义</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1908"/>
        <w:gridCol w:w="461"/>
        <w:gridCol w:w="7270"/>
      </w:tblGrid>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公司、本公司、上市</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7"/>
                <w:sz w:val="18"/>
                <w:szCs w:val="18"/>
              </w:rPr>
              <w:t>公司、茂业通信、茂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业物流</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公司原控股股东中兆投资管理有限公司(报告期不再是控股股东成为第二大股东)</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鹰溪谷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公司第一大股东孝昌鹰溪谷投资中心(有限合伙)(报告期被动成为第一大股东)</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公司股东及鹰溪谷的一致行动人北京博升优势科技发展有限公司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峰幽投资</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公司股东及鹰溪谷的一致行动人上海峰幽投资管理中心(普通合伙)</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中泽嘉盟</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公司股东鹰溪谷的间接股东北京中泽嘉盟投资中心(有限合伙)</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茂业百货</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公司股东及中兆投资的一致行动人深圳茂业百货有限公司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通泰达</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公司第三大股东深圳通泰达投资中心(有限合伙)</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创世漫道</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公司全资子公司北京创世漫道科技有限公司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长实通信</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公司全资子公司广东长实通信科技有限公司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茂业控股</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公司原全资子公司秦皇岛茂业控股有限公司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年重大资产购买</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年发生的公司资产购买暨关联交易事项：收购广东长实通信科技有限公司</w:t>
            </w:r>
            <w:r>
              <w:rPr>
                <w:rFonts w:ascii="宋体" w:hAnsi="宋体" w:cs="宋体" w:eastAsia="宋体" w:hint="default"/>
                <w:spacing w:val="-45"/>
                <w:sz w:val="18"/>
                <w:szCs w:val="18"/>
              </w:rPr>
              <w:t> </w:t>
            </w:r>
            <w:r>
              <w:rPr>
                <w:rFonts w:ascii="宋体" w:hAnsi="宋体" w:cs="宋体" w:eastAsia="宋体" w:hint="default"/>
                <w:sz w:val="18"/>
                <w:szCs w:val="18"/>
              </w:rPr>
              <w:t>100%股权</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年重大资产出售</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年发生的公司资产出售暨关联交易事项：出售秦皇岛茂业控股有限公司100%股权</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年重组</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收购长实通信</w:t>
            </w:r>
            <w:r>
              <w:rPr>
                <w:rFonts w:ascii="宋体" w:hAnsi="宋体" w:cs="宋体" w:eastAsia="宋体" w:hint="default"/>
                <w:spacing w:val="-45"/>
                <w:sz w:val="18"/>
                <w:szCs w:val="18"/>
              </w:rPr>
              <w:t> </w:t>
            </w:r>
            <w:r>
              <w:rPr>
                <w:rFonts w:ascii="宋体" w:hAnsi="宋体" w:cs="宋体" w:eastAsia="宋体" w:hint="default"/>
                <w:sz w:val="18"/>
                <w:szCs w:val="18"/>
              </w:rPr>
              <w:t>100%股权和出售茂业控股</w:t>
            </w:r>
            <w:r>
              <w:rPr>
                <w:rFonts w:ascii="宋体" w:hAnsi="宋体" w:cs="宋体" w:eastAsia="宋体" w:hint="default"/>
                <w:spacing w:val="-45"/>
                <w:sz w:val="18"/>
                <w:szCs w:val="18"/>
              </w:rPr>
              <w:t> </w:t>
            </w:r>
            <w:r>
              <w:rPr>
                <w:rFonts w:ascii="宋体" w:hAnsi="宋体" w:cs="宋体" w:eastAsia="宋体" w:hint="default"/>
                <w:sz w:val="18"/>
                <w:szCs w:val="18"/>
              </w:rPr>
              <w:t>100%股权</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年重组</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2014 年发生并实施完毕的公司发行股份及支付现金购买资产(创世漫道</w:t>
            </w:r>
            <w:r>
              <w:rPr>
                <w:rFonts w:ascii="宋体" w:hAnsi="宋体" w:cs="宋体" w:eastAsia="宋体" w:hint="default"/>
                <w:spacing w:val="25"/>
                <w:sz w:val="18"/>
                <w:szCs w:val="18"/>
              </w:rPr>
              <w:t> </w:t>
            </w:r>
            <w:r>
              <w:rPr>
                <w:rFonts w:ascii="宋体" w:hAnsi="宋体" w:cs="宋体" w:eastAsia="宋体" w:hint="default"/>
                <w:sz w:val="18"/>
                <w:szCs w:val="18"/>
              </w:rPr>
              <w:t>100%股权)并向特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定对象募集配套资金事项</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年重组</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年度发生并实施完毕的公司发行股份购买资产暨关联交易事项</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茂业国际</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公司间接控股股东茂业国际控股有限公司(股票代码：00848.HK)</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茂业商业</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上海证券交易所上市公司茂业商业股份有限公司(600828.SH)</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商业城</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上海证券交易所上市公司沈阳商业城股份有限公司(600306.SH)</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原长实通信</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年重大资产购买之前未分立的广东长实通信股份有限公司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长实建设</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清远市长实建设有限公司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长实网络</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年重大资产购买交易对方广东长实网络技术有限公司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孝昌恒隆</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年重大资产购买交易对方孝昌恒隆投资中心(有限合伙)</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长实锦轩</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年重大资产购买交易对方孝昌长实锦轩投资中心(有限合伙)</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嘉华信息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报告期开始的重大资产重组标的资产中天嘉华信息技术有限公司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嘉语春华</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报告期开始的重大资产重组的交易对方宁波保税区嘉语春华投资合伙企业(有限合伙)</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嘉惠秋实</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报告期开始的重大资产重组的交易对方宁波保税区嘉惠秋实投资合伙企业(有限合伙)</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中兴华</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华普天健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中铭国际</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中铭国际资产评估(北京)有限责任公司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铁塔公司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中国铁塔股份有限公司</w:t>
            </w:r>
          </w:p>
        </w:tc>
      </w:tr>
      <w:tr>
        <w:trPr>
          <w:trHeight w:val="47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通信运营商、电信运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营商、运营商</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国内基础通信运营商，包括中国移动、中国联通、中国电信</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亿美软通</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深圳市银之杰科技股份有限公司(300085.SZ)子公司北京亿美软通科技有限公司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国都互联</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吴通控股集团股份有限公司(300292.SZ)子公司北京国都互联科技有限公司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梦网荣信科技集团股份有限公司(02123.SZ)子公司深圳市梦网科技发展有限公司</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怡创科技</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广州海格通信集团股份有限公司(002465.SZ)子公司广东海格怡创科技股份有限公司</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华星创业</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杭州华星创业通信技术股份有限公司(300025.SZ)</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宜通世纪</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广东宜通世纪科技股份有限公司(300310.SZ)</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三网</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中国移动网络、中国联通网络、中国电信网络</w:t>
            </w:r>
          </w:p>
        </w:tc>
      </w:tr>
    </w:tbl>
    <w:p>
      <w:pPr>
        <w:spacing w:after="0" w:line="217" w:lineRule="exact"/>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1908"/>
        <w:gridCol w:w="461"/>
        <w:gridCol w:w="7270"/>
      </w:tblGrid>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工信部网站</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中华人民共和国工业和信息化部网站(网址</w:t>
            </w:r>
            <w:r>
              <w:rPr>
                <w:rFonts w:ascii="宋体" w:hAnsi="宋体" w:cs="宋体" w:eastAsia="宋体" w:hint="default"/>
                <w:spacing w:val="-43"/>
                <w:sz w:val="18"/>
                <w:szCs w:val="18"/>
              </w:rPr>
              <w:t> </w:t>
            </w:r>
            <w:hyperlink r:id="rId8">
              <w:r>
                <w:rPr>
                  <w:rFonts w:ascii="宋体" w:hAnsi="宋体" w:cs="宋体" w:eastAsia="宋体" w:hint="default"/>
                  <w:sz w:val="18"/>
                  <w:szCs w:val="18"/>
                </w:rPr>
                <w:t>http://www.miit.gov.cn/)</w:t>
              </w:r>
            </w:hyperlink>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中国证监会指定公司信息披露网站(网址</w:t>
            </w:r>
            <w:r>
              <w:rPr>
                <w:rFonts w:ascii="宋体" w:hAnsi="宋体" w:cs="宋体" w:eastAsia="宋体" w:hint="default"/>
                <w:spacing w:val="-43"/>
                <w:sz w:val="18"/>
                <w:szCs w:val="18"/>
              </w:rPr>
              <w:t> </w:t>
            </w:r>
            <w:hyperlink r:id="rId9">
              <w:r>
                <w:rPr>
                  <w:rFonts w:ascii="宋体" w:hAnsi="宋体" w:cs="宋体" w:eastAsia="宋体" w:hint="default"/>
                  <w:sz w:val="18"/>
                  <w:szCs w:val="18"/>
                </w:rPr>
                <w:t>http://www.cninfo.com.cn/)</w:t>
              </w:r>
            </w:hyperlink>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WLAN</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Wireless  Local  Area  Networks</w:t>
            </w:r>
            <w:r>
              <w:rPr>
                <w:rFonts w:ascii="宋体" w:hAnsi="宋体" w:cs="宋体" w:eastAsia="宋体" w:hint="default"/>
                <w:spacing w:val="1"/>
                <w:sz w:val="18"/>
                <w:szCs w:val="18"/>
              </w:rPr>
              <w:t> </w:t>
            </w:r>
            <w:r>
              <w:rPr>
                <w:rFonts w:ascii="宋体" w:hAnsi="宋体" w:cs="宋体" w:eastAsia="宋体" w:hint="default"/>
                <w:sz w:val="18"/>
                <w:szCs w:val="18"/>
              </w:rPr>
              <w:t>的缩写，翻译为无线局域网络</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sz w:val="18"/>
              </w:rPr>
              <w:t>4G</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第四代移动通信技术，集</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7"/>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WLAN</w:t>
            </w:r>
            <w:r>
              <w:rPr>
                <w:rFonts w:ascii="宋体" w:hAnsi="宋体" w:cs="宋体" w:eastAsia="宋体" w:hint="default"/>
                <w:spacing w:val="-45"/>
                <w:sz w:val="18"/>
                <w:szCs w:val="18"/>
              </w:rPr>
              <w:t> </w:t>
            </w:r>
            <w:r>
              <w:rPr>
                <w:rFonts w:ascii="宋体" w:hAnsi="宋体" w:cs="宋体" w:eastAsia="宋体" w:hint="default"/>
                <w:sz w:val="18"/>
                <w:szCs w:val="18"/>
              </w:rPr>
              <w:t>于一体并能够快速传输数据、高质量视频图像的技术</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5G</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sz w:val="18"/>
              </w:rPr>
              <w:t>IDC</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互联网数据中心</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sz w:val="18"/>
              </w:rPr>
              <w:t>SDH</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同步数字传输</w:t>
            </w:r>
          </w:p>
        </w:tc>
      </w:tr>
      <w:tr>
        <w:trPr>
          <w:trHeight w:val="26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海联金汇</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海联金汇科技股份有限公司(002537.SZ)</w:t>
            </w:r>
          </w:p>
        </w:tc>
      </w:tr>
      <w:tr>
        <w:trPr>
          <w:trHeight w:val="26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指</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海联金汇的全资子公司联动优势科技有限公司</w:t>
            </w:r>
          </w:p>
        </w:tc>
      </w:tr>
    </w:tbl>
    <w:p>
      <w:pPr>
        <w:spacing w:line="240" w:lineRule="auto" w:before="9"/>
        <w:rPr>
          <w:rFonts w:ascii="宋体" w:hAnsi="宋体" w:cs="宋体" w:eastAsia="宋体" w:hint="default"/>
          <w:b/>
          <w:bCs/>
          <w:sz w:val="27"/>
          <w:szCs w:val="27"/>
        </w:rPr>
      </w:pPr>
    </w:p>
    <w:p>
      <w:pPr>
        <w:spacing w:before="0"/>
        <w:ind w:left="2570" w:right="1174" w:firstLine="0"/>
        <w:jc w:val="left"/>
        <w:rPr>
          <w:rFonts w:ascii="宋体" w:hAnsi="宋体" w:cs="宋体" w:eastAsia="宋体" w:hint="default"/>
          <w:sz w:val="32"/>
          <w:szCs w:val="32"/>
        </w:rPr>
      </w:pPr>
      <w:r>
        <w:rPr>
          <w:rFonts w:ascii="宋体" w:hAnsi="宋体" w:cs="宋体" w:eastAsia="宋体" w:hint="default"/>
          <w:b/>
          <w:bCs/>
          <w:sz w:val="32"/>
          <w:szCs w:val="32"/>
        </w:rPr>
        <w:t>第二章</w:t>
      </w:r>
      <w:r>
        <w:rPr>
          <w:rFonts w:ascii="宋体" w:hAnsi="宋体" w:cs="宋体" w:eastAsia="宋体" w:hint="default"/>
          <w:b/>
          <w:bCs/>
          <w:spacing w:val="-5"/>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一、公司信息</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78"/>
        <w:gridCol w:w="2693"/>
        <w:gridCol w:w="2124"/>
        <w:gridCol w:w="1843"/>
      </w:tblGrid>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茂业通信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sz w:val="18"/>
              </w:rPr>
              <w:t>000889</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茂业通信</w:t>
            </w:r>
          </w:p>
        </w:tc>
      </w:tr>
      <w:tr>
        <w:trPr>
          <w:trHeight w:val="29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公司的英文名称</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sz w:val="18"/>
              </w:rPr>
              <w:t>Maoye Communication and Network</w:t>
            </w:r>
            <w:r>
              <w:rPr>
                <w:rFonts w:ascii="宋体"/>
                <w:spacing w:val="3"/>
                <w:sz w:val="18"/>
              </w:rPr>
              <w:t> </w:t>
            </w:r>
            <w:r>
              <w:rPr>
                <w:rFonts w:ascii="宋体"/>
                <w:sz w:val="18"/>
              </w:rPr>
              <w:t>Co.,Ltd</w:t>
            </w:r>
          </w:p>
        </w:tc>
      </w:tr>
      <w:tr>
        <w:trPr>
          <w:trHeight w:val="29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公司的英文名称缩写</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sz w:val="18"/>
              </w:rPr>
              <w:t>MYCN</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吴鹰</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公司注册地址</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秦皇岛市海港区河北大街中段</w:t>
            </w:r>
            <w:r>
              <w:rPr>
                <w:rFonts w:ascii="宋体" w:hAnsi="宋体" w:cs="宋体" w:eastAsia="宋体" w:hint="default"/>
                <w:spacing w:val="-45"/>
                <w:sz w:val="18"/>
                <w:szCs w:val="18"/>
              </w:rPr>
              <w:t> </w:t>
            </w:r>
            <w:r>
              <w:rPr>
                <w:rFonts w:ascii="宋体" w:hAnsi="宋体" w:cs="宋体" w:eastAsia="宋体" w:hint="default"/>
                <w:sz w:val="18"/>
                <w:szCs w:val="18"/>
              </w:rPr>
              <w:t>146</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29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sz w:val="18"/>
              </w:rPr>
              <w:t>066000</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公司办公地址</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29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sz w:val="18"/>
              </w:rPr>
              <w:t>066000</w:t>
            </w:r>
          </w:p>
        </w:tc>
      </w:tr>
      <w:tr>
        <w:trPr>
          <w:trHeight w:val="29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hyperlink r:id="rId10">
              <w:r>
                <w:rPr>
                  <w:rFonts w:ascii="宋体"/>
                  <w:sz w:val="18"/>
                </w:rPr>
                <w:t>www.hlsc.com.cn</w:t>
              </w:r>
            </w:hyperlink>
          </w:p>
        </w:tc>
      </w:tr>
      <w:tr>
        <w:trPr>
          <w:trHeight w:val="29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公司电子信箱</w:t>
            </w:r>
          </w:p>
        </w:tc>
        <w:tc>
          <w:tcPr>
            <w:tcW w:w="66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hyperlink r:id="rId11">
              <w:r>
                <w:rPr>
                  <w:rFonts w:ascii="宋体"/>
                  <w:sz w:val="18"/>
                </w:rPr>
                <w:t>hl</w:t>
              </w:r>
            </w:hyperlink>
            <w:hyperlink r:id="rId12">
              <w:r>
                <w:rPr>
                  <w:rFonts w:ascii="宋体"/>
                  <w:sz w:val="18"/>
                </w:rPr>
                <w:t>sc000889@163.com</w:t>
              </w:r>
            </w:hyperlink>
          </w:p>
        </w:tc>
      </w:tr>
    </w:tbl>
    <w:p>
      <w:pPr>
        <w:spacing w:line="240" w:lineRule="auto" w:before="2"/>
        <w:rPr>
          <w:rFonts w:ascii="宋体" w:hAnsi="宋体" w:cs="宋体" w:eastAsia="宋体" w:hint="default"/>
          <w:b/>
          <w:bCs/>
          <w:sz w:val="20"/>
          <w:szCs w:val="20"/>
        </w:rPr>
      </w:pPr>
    </w:p>
    <w:p>
      <w:pPr>
        <w:spacing w:before="36"/>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二、公司联系人和联系方式</w:t>
      </w:r>
      <w:r>
        <w:rPr>
          <w:rFonts w:ascii="宋体" w:hAnsi="宋体" w:cs="宋体" w:eastAsia="宋体" w:hint="default"/>
          <w:sz w:val="21"/>
          <w:szCs w:val="21"/>
        </w:rPr>
        <w:t>。</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978"/>
        <w:gridCol w:w="3259"/>
        <w:gridCol w:w="3401"/>
      </w:tblGrid>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张海英</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0335—3733868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0335—3280602</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0335—3023349</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hyperlink r:id="rId13">
              <w:r>
                <w:rPr>
                  <w:rFonts w:ascii="宋体"/>
                  <w:sz w:val="18"/>
                </w:rPr>
                <w:t>hq</w:t>
              </w:r>
            </w:hyperlink>
            <w:hyperlink r:id="rId14">
              <w:r>
                <w:rPr>
                  <w:rFonts w:ascii="宋体"/>
                  <w:sz w:val="18"/>
                </w:rPr>
                <w:t>jiao@sohu.com</w:t>
              </w:r>
            </w:hyperlink>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hyperlink r:id="rId15">
              <w:r>
                <w:rPr>
                  <w:rFonts w:ascii="宋体"/>
                  <w:sz w:val="18"/>
                </w:rPr>
                <w:t>ha</w:t>
              </w:r>
            </w:hyperlink>
            <w:hyperlink r:id="rId16">
              <w:r>
                <w:rPr>
                  <w:rFonts w:ascii="宋体"/>
                  <w:sz w:val="18"/>
                </w:rPr>
                <w:t>iyingduo@163.com</w:t>
              </w:r>
            </w:hyperlink>
          </w:p>
        </w:tc>
      </w:tr>
    </w:tbl>
    <w:p>
      <w:pPr>
        <w:spacing w:line="240" w:lineRule="auto" w:before="1"/>
        <w:rPr>
          <w:rFonts w:ascii="宋体" w:hAnsi="宋体" w:cs="宋体" w:eastAsia="宋体" w:hint="default"/>
          <w:sz w:val="20"/>
          <w:szCs w:val="20"/>
        </w:rPr>
      </w:pPr>
    </w:p>
    <w:p>
      <w:pPr>
        <w:spacing w:before="36"/>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三、信息披露及备置地点</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819"/>
        <w:gridCol w:w="4819"/>
      </w:tblGrid>
      <w:tr>
        <w:trPr>
          <w:trHeight w:val="322"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322"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公司登载年度报告的中国证监会指定网站的网址</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hyperlink r:id="rId17">
              <w:r>
                <w:rPr>
                  <w:rFonts w:ascii="宋体" w:hAnsi="宋体" w:cs="宋体" w:eastAsia="宋体" w:hint="default"/>
                  <w:sz w:val="18"/>
                  <w:szCs w:val="18"/>
                </w:rPr>
                <w:t>巨潮资讯网及网址：http://www.cninfo.com.cn</w:t>
              </w:r>
            </w:hyperlink>
          </w:p>
        </w:tc>
      </w:tr>
      <w:tr>
        <w:trPr>
          <w:trHeight w:val="324"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公司证券部、财务报告部</w:t>
            </w:r>
          </w:p>
        </w:tc>
      </w:tr>
    </w:tbl>
    <w:p>
      <w:pPr>
        <w:spacing w:line="240" w:lineRule="auto" w:before="2"/>
        <w:rPr>
          <w:rFonts w:ascii="宋体" w:hAnsi="宋体" w:cs="宋体" w:eastAsia="宋体" w:hint="default"/>
          <w:b/>
          <w:bCs/>
          <w:sz w:val="20"/>
          <w:szCs w:val="20"/>
        </w:rPr>
      </w:pPr>
    </w:p>
    <w:p>
      <w:pPr>
        <w:spacing w:before="36"/>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四、注册变更情况</w:t>
      </w:r>
      <w:r>
        <w:rPr>
          <w:rFonts w:ascii="宋体" w:hAnsi="宋体" w:cs="宋体" w:eastAsia="宋体" w:hint="default"/>
          <w:sz w:val="21"/>
          <w:szCs w:val="21"/>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78"/>
        <w:gridCol w:w="6660"/>
      </w:tblGrid>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91130300104366111M</w:t>
            </w:r>
            <w:r>
              <w:rPr>
                <w:rFonts w:ascii="宋体" w:hAnsi="宋体" w:cs="宋体" w:eastAsia="宋体" w:hint="default"/>
                <w:spacing w:val="1"/>
                <w:sz w:val="18"/>
                <w:szCs w:val="18"/>
              </w:rPr>
              <w:t> </w:t>
            </w:r>
            <w:r>
              <w:rPr>
                <w:rFonts w:ascii="宋体" w:hAnsi="宋体" w:cs="宋体" w:eastAsia="宋体" w:hint="default"/>
                <w:sz w:val="18"/>
                <w:szCs w:val="18"/>
              </w:rPr>
              <w:t>(无变更)</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公司报告期内主营业务的变化情况</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报告期内主营信息传输、通信网络维护，主营业务没有变化。</w:t>
            </w:r>
          </w:p>
        </w:tc>
      </w:tr>
      <w:tr>
        <w:trPr>
          <w:trHeight w:val="47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控股股东的变更情况</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控股股东中兆投资变为公司第二大股东，鹰溪谷被动成为公司第一大股东，公司已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无控股股东、实际控制人。(报告期变更情况见本报告第六章第二节的相关内容)</w:t>
            </w:r>
          </w:p>
        </w:tc>
      </w:tr>
    </w:tbl>
    <w:p>
      <w:pPr>
        <w:spacing w:after="0" w:line="234" w:lineRule="exact"/>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273" w:lineRule="auto" w:before="0"/>
        <w:ind w:left="813" w:right="6517" w:firstLine="2"/>
        <w:jc w:val="left"/>
        <w:rPr>
          <w:rFonts w:ascii="宋体" w:hAnsi="宋体" w:cs="宋体" w:eastAsia="宋体" w:hint="default"/>
          <w:sz w:val="21"/>
          <w:szCs w:val="21"/>
        </w:rPr>
      </w:pPr>
      <w:r>
        <w:rPr>
          <w:rFonts w:ascii="宋体" w:hAnsi="宋体" w:cs="宋体" w:eastAsia="宋体" w:hint="default"/>
          <w:b/>
          <w:bCs/>
          <w:sz w:val="21"/>
          <w:szCs w:val="21"/>
        </w:rPr>
        <w:t>五、其他有关资料</w:t>
      </w:r>
      <w:r>
        <w:rPr>
          <w:rFonts w:ascii="宋体" w:hAnsi="宋体" w:cs="宋体" w:eastAsia="宋体" w:hint="default"/>
          <w:b/>
          <w:bCs/>
          <w:w w:val="100"/>
          <w:sz w:val="21"/>
          <w:szCs w:val="21"/>
        </w:rPr>
        <w:t> </w:t>
      </w:r>
      <w:r>
        <w:rPr>
          <w:rFonts w:ascii="宋体" w:hAnsi="宋体" w:cs="宋体" w:eastAsia="宋体" w:hint="default"/>
          <w:spacing w:val="-2"/>
          <w:sz w:val="21"/>
          <w:szCs w:val="21"/>
        </w:rPr>
        <w:t>公司聘请的会计师事务所</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819"/>
        <w:gridCol w:w="4819"/>
      </w:tblGrid>
      <w:tr>
        <w:trPr>
          <w:trHeight w:val="379"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377"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391"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王广鹏、刘秀礼</w:t>
            </w:r>
          </w:p>
        </w:tc>
      </w:tr>
    </w:tbl>
    <w:p>
      <w:pPr>
        <w:spacing w:line="240" w:lineRule="auto" w:before="1"/>
        <w:rPr>
          <w:rFonts w:ascii="宋体" w:hAnsi="宋体" w:cs="宋体" w:eastAsia="宋体" w:hint="default"/>
          <w:sz w:val="20"/>
          <w:szCs w:val="20"/>
        </w:rPr>
      </w:pPr>
    </w:p>
    <w:p>
      <w:pPr>
        <w:pStyle w:val="BodyText"/>
        <w:spacing w:line="240" w:lineRule="auto" w:before="36"/>
        <w:ind w:left="813" w:right="1174"/>
        <w:jc w:val="left"/>
      </w:pPr>
      <w:r>
        <w:rPr/>
        <w:t>公司聘请的报告期内履行持续督导职责的财务顾问</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819"/>
        <w:gridCol w:w="4819"/>
      </w:tblGrid>
      <w:tr>
        <w:trPr>
          <w:trHeight w:val="377"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391"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号西南证券大厦</w:t>
            </w:r>
          </w:p>
        </w:tc>
      </w:tr>
      <w:tr>
        <w:trPr>
          <w:trHeight w:val="391"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陈清、秦晋</w:t>
            </w:r>
          </w:p>
        </w:tc>
      </w:tr>
      <w:tr>
        <w:trPr>
          <w:trHeight w:val="362"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持续督导的期间</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36"/>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六、主要会计数据和财务指标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pStyle w:val="BodyText"/>
        <w:spacing w:line="273" w:lineRule="auto" w:before="0"/>
        <w:ind w:left="813" w:right="1174"/>
        <w:jc w:val="left"/>
      </w:pPr>
      <w:r>
        <w:rPr>
          <w:spacing w:val="-2"/>
        </w:rPr>
        <w:t>公司没有因会计政策变更及会计差错更正等追溯调整或重述以前年度会计数据。</w:t>
      </w:r>
      <w:r>
        <w:rPr>
          <w:spacing w:val="-39"/>
        </w:rPr>
        <w:t> </w:t>
      </w:r>
      <w:r>
        <w:rPr>
          <w:spacing w:val="-39"/>
        </w:rPr>
      </w:r>
      <w:r>
        <w:rPr/>
        <w:t>公司近</w:t>
      </w:r>
      <w:r>
        <w:rPr>
          <w:spacing w:val="-57"/>
        </w:rPr>
        <w:t> </w:t>
      </w:r>
      <w:r>
        <w:rPr/>
        <w:t>3</w:t>
      </w:r>
      <w:r>
        <w:rPr>
          <w:spacing w:val="-57"/>
        </w:rPr>
        <w:t> </w:t>
      </w:r>
      <w:r>
        <w:rPr/>
        <w:t>年主要会计数据和财务指标(货币金额指人民币金额，下同)</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34"/>
        <w:gridCol w:w="1702"/>
        <w:gridCol w:w="1702"/>
        <w:gridCol w:w="1702"/>
        <w:gridCol w:w="1699"/>
      </w:tblGrid>
      <w:tr>
        <w:trPr>
          <w:trHeight w:val="593" w:hRule="exact"/>
        </w:trPr>
        <w:tc>
          <w:tcPr>
            <w:tcW w:w="28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5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5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103" w:right="326"/>
              <w:jc w:val="left"/>
              <w:rPr>
                <w:rFonts w:ascii="宋体" w:hAnsi="宋体" w:cs="宋体" w:eastAsia="宋体" w:hint="default"/>
                <w:sz w:val="18"/>
                <w:szCs w:val="18"/>
              </w:rPr>
            </w:pPr>
            <w:r>
              <w:rPr>
                <w:rFonts w:ascii="宋体" w:hAnsi="宋体" w:cs="宋体" w:eastAsia="宋体" w:hint="default"/>
                <w:sz w:val="18"/>
                <w:szCs w:val="18"/>
              </w:rPr>
              <w:t>本年比上年增减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5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p>
        </w:tc>
      </w:tr>
      <w:tr>
        <w:trPr>
          <w:trHeight w:val="406"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7"/>
                <w:sz w:val="18"/>
                <w:szCs w:val="18"/>
              </w:rPr>
              <w:t>营业收入(元)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2,107,385,087.61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1,814,658,054.48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16.13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2,215,867,433.47</w:t>
            </w:r>
          </w:p>
        </w:tc>
      </w:tr>
      <w:tr>
        <w:trPr>
          <w:trHeight w:val="40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11"/>
                <w:sz w:val="18"/>
                <w:szCs w:val="18"/>
              </w:rPr>
              <w:t>归属于上市公司股东的净利润(元)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228,581,216.75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219,954,137.88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3.92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153,603,203.01</w:t>
            </w:r>
          </w:p>
        </w:tc>
      </w:tr>
      <w:tr>
        <w:trPr>
          <w:trHeight w:val="58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103" w:right="98"/>
              <w:jc w:val="left"/>
              <w:rPr>
                <w:rFonts w:ascii="宋体" w:hAnsi="宋体" w:cs="宋体" w:eastAsia="宋体" w:hint="default"/>
                <w:sz w:val="18"/>
                <w:szCs w:val="18"/>
              </w:rPr>
            </w:pPr>
            <w:r>
              <w:rPr>
                <w:rFonts w:ascii="宋体" w:hAnsi="宋体" w:cs="宋体" w:eastAsia="宋体" w:hint="default"/>
                <w:spacing w:val="6"/>
                <w:sz w:val="18"/>
                <w:szCs w:val="18"/>
              </w:rPr>
              <w:t>归属于上市公司股东的扣除非经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常性损益的净利润(元)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6"/>
              <w:jc w:val="right"/>
              <w:rPr>
                <w:rFonts w:ascii="宋体" w:hAnsi="宋体" w:cs="宋体" w:eastAsia="宋体" w:hint="default"/>
                <w:sz w:val="18"/>
                <w:szCs w:val="18"/>
              </w:rPr>
            </w:pPr>
            <w:r>
              <w:rPr>
                <w:rFonts w:ascii="宋体"/>
                <w:sz w:val="18"/>
              </w:rPr>
              <w:t>226,636,787.19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6"/>
              <w:jc w:val="right"/>
              <w:rPr>
                <w:rFonts w:ascii="宋体" w:hAnsi="宋体" w:cs="宋体" w:eastAsia="宋体" w:hint="default"/>
                <w:sz w:val="18"/>
                <w:szCs w:val="18"/>
              </w:rPr>
            </w:pPr>
            <w:r>
              <w:rPr>
                <w:rFonts w:ascii="宋体"/>
                <w:sz w:val="18"/>
              </w:rPr>
              <w:t>214,953,701.91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6"/>
              <w:jc w:val="right"/>
              <w:rPr>
                <w:rFonts w:ascii="宋体" w:hAnsi="宋体" w:cs="宋体" w:eastAsia="宋体" w:hint="default"/>
                <w:sz w:val="18"/>
                <w:szCs w:val="18"/>
              </w:rPr>
            </w:pPr>
            <w:r>
              <w:rPr>
                <w:rFonts w:ascii="宋体"/>
                <w:sz w:val="18"/>
              </w:rPr>
              <w:t>5.44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
              <w:jc w:val="right"/>
              <w:rPr>
                <w:rFonts w:ascii="宋体" w:hAnsi="宋体" w:cs="宋体" w:eastAsia="宋体" w:hint="default"/>
                <w:sz w:val="18"/>
                <w:szCs w:val="18"/>
              </w:rPr>
            </w:pPr>
            <w:r>
              <w:rPr>
                <w:rFonts w:ascii="宋体"/>
                <w:sz w:val="18"/>
              </w:rPr>
              <w:t>155,400,582.05</w:t>
            </w:r>
          </w:p>
        </w:tc>
      </w:tr>
      <w:tr>
        <w:trPr>
          <w:trHeight w:val="40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11"/>
                <w:sz w:val="18"/>
                <w:szCs w:val="18"/>
              </w:rPr>
              <w:t>经营活动产生的现金流量净额(元)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pacing w:val="-1"/>
                <w:sz w:val="18"/>
              </w:rPr>
              <w:t>43,163,323.32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148,449,112.87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-70.92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140,662,777.62</w:t>
            </w:r>
          </w:p>
        </w:tc>
      </w:tr>
      <w:tr>
        <w:trPr>
          <w:trHeight w:val="406"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0.3676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0.3537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3.93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0.2470</w:t>
            </w:r>
          </w:p>
        </w:tc>
      </w:tr>
      <w:tr>
        <w:trPr>
          <w:trHeight w:val="40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0.3676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0.3537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3.93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0.2470</w:t>
            </w:r>
          </w:p>
        </w:tc>
      </w:tr>
      <w:tr>
        <w:trPr>
          <w:trHeight w:val="40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8.93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45"/>
                <w:sz w:val="18"/>
                <w:szCs w:val="18"/>
              </w:rPr>
              <w:t> </w:t>
            </w:r>
            <w:r>
              <w:rPr>
                <w:rFonts w:ascii="宋体" w:hAnsi="宋体" w:cs="宋体" w:eastAsia="宋体" w:hint="default"/>
                <w:sz w:val="18"/>
                <w:szCs w:val="18"/>
              </w:rPr>
              <w:t>0.41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7.05</w:t>
            </w:r>
          </w:p>
        </w:tc>
      </w:tr>
      <w:tr>
        <w:trPr>
          <w:trHeight w:val="610" w:hRule="exact"/>
        </w:trPr>
        <w:tc>
          <w:tcPr>
            <w:tcW w:w="28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6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6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146"/>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6"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3,223,186,028.74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
              <w:jc w:val="right"/>
              <w:rPr>
                <w:rFonts w:ascii="宋体" w:hAnsi="宋体" w:cs="宋体" w:eastAsia="宋体" w:hint="default"/>
                <w:sz w:val="18"/>
                <w:szCs w:val="18"/>
              </w:rPr>
            </w:pPr>
            <w:r>
              <w:rPr>
                <w:rFonts w:ascii="宋体"/>
                <w:sz w:val="18"/>
              </w:rPr>
              <w:t>2,989,901,779.61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right"/>
              <w:rPr>
                <w:rFonts w:ascii="宋体" w:hAnsi="宋体" w:cs="宋体" w:eastAsia="宋体" w:hint="default"/>
                <w:sz w:val="18"/>
                <w:szCs w:val="18"/>
              </w:rPr>
            </w:pPr>
            <w:r>
              <w:rPr>
                <w:rFonts w:ascii="宋体"/>
                <w:sz w:val="18"/>
              </w:rPr>
              <w:t>7.80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right"/>
              <w:rPr>
                <w:rFonts w:ascii="宋体" w:hAnsi="宋体" w:cs="宋体" w:eastAsia="宋体" w:hint="default"/>
                <w:sz w:val="18"/>
                <w:szCs w:val="18"/>
              </w:rPr>
            </w:pPr>
            <w:r>
              <w:rPr>
                <w:rFonts w:ascii="宋体"/>
                <w:sz w:val="18"/>
              </w:rPr>
              <w:t>3,393,160,730.32</w:t>
            </w:r>
          </w:p>
        </w:tc>
      </w:tr>
      <w:tr>
        <w:trPr>
          <w:trHeight w:val="54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03" w:right="98"/>
              <w:jc w:val="left"/>
              <w:rPr>
                <w:rFonts w:ascii="宋体" w:hAnsi="宋体" w:cs="宋体" w:eastAsia="宋体" w:hint="default"/>
                <w:sz w:val="18"/>
                <w:szCs w:val="18"/>
              </w:rPr>
            </w:pPr>
            <w:r>
              <w:rPr>
                <w:rFonts w:ascii="宋体" w:hAnsi="宋体" w:cs="宋体" w:eastAsia="宋体" w:hint="default"/>
                <w:sz w:val="18"/>
                <w:szCs w:val="18"/>
              </w:rPr>
              <w:t>归</w:t>
            </w:r>
            <w:r>
              <w:rPr>
                <w:rFonts w:ascii="宋体" w:hAnsi="宋体" w:cs="宋体" w:eastAsia="宋体" w:hint="default"/>
                <w:spacing w:val="-66"/>
                <w:sz w:val="18"/>
                <w:szCs w:val="18"/>
              </w:rPr>
              <w:t> </w:t>
            </w:r>
            <w:r>
              <w:rPr>
                <w:rFonts w:ascii="宋体" w:hAnsi="宋体" w:cs="宋体" w:eastAsia="宋体" w:hint="default"/>
                <w:sz w:val="18"/>
                <w:szCs w:val="18"/>
              </w:rPr>
              <w:t>属</w:t>
            </w:r>
            <w:r>
              <w:rPr>
                <w:rFonts w:ascii="宋体" w:hAnsi="宋体" w:cs="宋体" w:eastAsia="宋体" w:hint="default"/>
                <w:spacing w:val="-66"/>
                <w:sz w:val="18"/>
                <w:szCs w:val="18"/>
              </w:rPr>
              <w:t> </w:t>
            </w:r>
            <w:r>
              <w:rPr>
                <w:rFonts w:ascii="宋体" w:hAnsi="宋体" w:cs="宋体" w:eastAsia="宋体" w:hint="default"/>
                <w:sz w:val="18"/>
                <w:szCs w:val="18"/>
              </w:rPr>
              <w:t>于</w:t>
            </w:r>
            <w:r>
              <w:rPr>
                <w:rFonts w:ascii="宋体" w:hAnsi="宋体" w:cs="宋体" w:eastAsia="宋体" w:hint="default"/>
                <w:spacing w:val="-66"/>
                <w:sz w:val="18"/>
                <w:szCs w:val="18"/>
              </w:rPr>
              <w:t> </w:t>
            </w:r>
            <w:r>
              <w:rPr>
                <w:rFonts w:ascii="宋体" w:hAnsi="宋体" w:cs="宋体" w:eastAsia="宋体" w:hint="default"/>
                <w:sz w:val="18"/>
                <w:szCs w:val="18"/>
              </w:rPr>
              <w:t>上</w:t>
            </w:r>
            <w:r>
              <w:rPr>
                <w:rFonts w:ascii="宋体" w:hAnsi="宋体" w:cs="宋体" w:eastAsia="宋体" w:hint="default"/>
                <w:spacing w:val="-66"/>
                <w:sz w:val="18"/>
                <w:szCs w:val="18"/>
              </w:rPr>
              <w:t> </w:t>
            </w:r>
            <w:r>
              <w:rPr>
                <w:rFonts w:ascii="宋体" w:hAnsi="宋体" w:cs="宋体" w:eastAsia="宋体" w:hint="default"/>
                <w:spacing w:val="10"/>
                <w:sz w:val="18"/>
                <w:szCs w:val="18"/>
              </w:rPr>
              <w:t>市公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6"/>
                <w:sz w:val="18"/>
                <w:szCs w:val="18"/>
              </w:rPr>
              <w:t> </w:t>
            </w:r>
            <w:r>
              <w:rPr>
                <w:rFonts w:ascii="宋体" w:hAnsi="宋体" w:cs="宋体" w:eastAsia="宋体" w:hint="default"/>
                <w:sz w:val="18"/>
                <w:szCs w:val="18"/>
              </w:rPr>
              <w:t>股</w:t>
            </w:r>
            <w:r>
              <w:rPr>
                <w:rFonts w:ascii="宋体" w:hAnsi="宋体" w:cs="宋体" w:eastAsia="宋体" w:hint="default"/>
                <w:spacing w:val="-66"/>
                <w:sz w:val="18"/>
                <w:szCs w:val="18"/>
              </w:rPr>
              <w:t> </w:t>
            </w:r>
            <w:r>
              <w:rPr>
                <w:rFonts w:ascii="宋体" w:hAnsi="宋体" w:cs="宋体" w:eastAsia="宋体" w:hint="default"/>
                <w:spacing w:val="10"/>
                <w:sz w:val="18"/>
                <w:szCs w:val="18"/>
              </w:rPr>
              <w:t>东的</w:t>
            </w:r>
            <w:r>
              <w:rPr>
                <w:rFonts w:ascii="宋体" w:hAnsi="宋体" w:cs="宋体" w:eastAsia="宋体" w:hint="default"/>
                <w:spacing w:val="-66"/>
                <w:sz w:val="18"/>
                <w:szCs w:val="18"/>
              </w:rPr>
              <w:t> </w:t>
            </w:r>
            <w:r>
              <w:rPr>
                <w:rFonts w:ascii="宋体" w:hAnsi="宋体" w:cs="宋体" w:eastAsia="宋体" w:hint="default"/>
                <w:sz w:val="18"/>
                <w:szCs w:val="18"/>
              </w:rPr>
              <w:t>净</w:t>
            </w:r>
            <w:r>
              <w:rPr>
                <w:rFonts w:ascii="宋体" w:hAnsi="宋体" w:cs="宋体" w:eastAsia="宋体" w:hint="default"/>
                <w:spacing w:val="-66"/>
                <w:sz w:val="18"/>
                <w:szCs w:val="18"/>
              </w:rPr>
              <w:t> </w:t>
            </w:r>
            <w:r>
              <w:rPr>
                <w:rFonts w:ascii="宋体" w:hAnsi="宋体" w:cs="宋体" w:eastAsia="宋体" w:hint="default"/>
                <w:spacing w:val="10"/>
                <w:sz w:val="18"/>
                <w:szCs w:val="18"/>
              </w:rPr>
              <w:t>资产</w:t>
            </w:r>
            <w:r>
              <w:rPr>
                <w:rFonts w:ascii="宋体" w:hAnsi="宋体" w:cs="宋体" w:eastAsia="宋体" w:hint="default"/>
                <w:sz w:val="18"/>
                <w:szCs w:val="18"/>
              </w:rPr>
              <w:t> (元)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7"/>
              <w:jc w:val="right"/>
              <w:rPr>
                <w:rFonts w:ascii="宋体" w:hAnsi="宋体" w:cs="宋体" w:eastAsia="宋体" w:hint="default"/>
                <w:sz w:val="18"/>
                <w:szCs w:val="18"/>
              </w:rPr>
            </w:pPr>
            <w:r>
              <w:rPr>
                <w:rFonts w:ascii="宋体"/>
                <w:sz w:val="18"/>
              </w:rPr>
              <w:t>2,661,028,566.87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6"/>
              <w:jc w:val="right"/>
              <w:rPr>
                <w:rFonts w:ascii="宋体" w:hAnsi="宋体" w:cs="宋体" w:eastAsia="宋体" w:hint="default"/>
                <w:sz w:val="18"/>
                <w:szCs w:val="18"/>
              </w:rPr>
            </w:pPr>
            <w:r>
              <w:rPr>
                <w:rFonts w:ascii="宋体"/>
                <w:sz w:val="18"/>
              </w:rPr>
              <w:t>2,454,833,114.41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7"/>
              <w:jc w:val="right"/>
              <w:rPr>
                <w:rFonts w:ascii="宋体" w:hAnsi="宋体" w:cs="宋体" w:eastAsia="宋体" w:hint="default"/>
                <w:sz w:val="18"/>
                <w:szCs w:val="18"/>
              </w:rPr>
            </w:pPr>
            <w:r>
              <w:rPr>
                <w:rFonts w:ascii="宋体"/>
                <w:sz w:val="18"/>
              </w:rPr>
              <w:t>8.40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2,250,424,646.16</w:t>
            </w:r>
          </w:p>
        </w:tc>
      </w:tr>
    </w:tbl>
    <w:p>
      <w:pPr>
        <w:pStyle w:val="BodyText"/>
        <w:tabs>
          <w:tab w:pos="3227" w:val="left" w:leader="none"/>
        </w:tabs>
        <w:spacing w:line="408" w:lineRule="auto" w:before="50"/>
        <w:ind w:left="813" w:right="1643"/>
        <w:jc w:val="left"/>
      </w:pPr>
      <w:r>
        <w:rPr/>
        <w:t>注：2016</w:t>
      </w:r>
      <w:r>
        <w:rPr>
          <w:spacing w:val="-56"/>
        </w:rPr>
        <w:t> </w:t>
      </w:r>
      <w:r>
        <w:rPr/>
        <w:t>年归属于上市公司股东的净利润含转回的坏账准备</w:t>
      </w:r>
      <w:r>
        <w:rPr>
          <w:spacing w:val="-54"/>
        </w:rPr>
        <w:t> </w:t>
      </w:r>
      <w:r>
        <w:rPr/>
        <w:t>26,360,167.50</w:t>
      </w:r>
      <w:r>
        <w:rPr>
          <w:spacing w:val="-56"/>
        </w:rPr>
        <w:t> </w:t>
      </w:r>
      <w:r>
        <w:rPr/>
        <w:t>元。</w:t>
      </w:r>
      <w:r>
        <w:rPr>
          <w:w w:val="100"/>
        </w:rPr>
        <w:t> </w:t>
      </w:r>
      <w:r>
        <w:rPr/>
        <w:t>是否存在公司债：□</w:t>
      </w:r>
      <w:r>
        <w:rPr>
          <w:spacing w:val="1"/>
        </w:rPr>
        <w:t> </w:t>
      </w:r>
      <w:r>
        <w:rPr/>
        <w:t>是</w:t>
        <w:tab/>
        <w:t>√ 否。</w:t>
      </w:r>
    </w:p>
    <w:p>
      <w:pPr>
        <w:tabs>
          <w:tab w:pos="5330" w:val="left" w:leader="none"/>
          <w:tab w:pos="6064" w:val="left" w:leader="none"/>
        </w:tabs>
        <w:spacing w:line="544" w:lineRule="auto" w:before="46"/>
        <w:ind w:left="815" w:right="2641" w:hanging="3"/>
        <w:jc w:val="left"/>
        <w:rPr>
          <w:rFonts w:ascii="宋体" w:hAnsi="宋体" w:cs="宋体" w:eastAsia="宋体" w:hint="default"/>
          <w:sz w:val="21"/>
          <w:szCs w:val="21"/>
        </w:rPr>
      </w:pPr>
      <w:r>
        <w:rPr>
          <w:rFonts w:ascii="宋体" w:hAnsi="宋体" w:cs="宋体" w:eastAsia="宋体" w:hint="default"/>
          <w:sz w:val="21"/>
          <w:szCs w:val="21"/>
        </w:rPr>
        <w:t>公司是否存在最近两年连续亏损的情形：□</w:t>
      </w:r>
      <w:r>
        <w:rPr>
          <w:rFonts w:ascii="宋体" w:hAnsi="宋体" w:cs="宋体" w:eastAsia="宋体" w:hint="default"/>
          <w:spacing w:val="-2"/>
          <w:sz w:val="21"/>
          <w:szCs w:val="21"/>
        </w:rPr>
        <w:t> </w:t>
      </w:r>
      <w:r>
        <w:rPr>
          <w:rFonts w:ascii="宋体" w:hAnsi="宋体" w:cs="宋体" w:eastAsia="宋体" w:hint="default"/>
          <w:sz w:val="21"/>
          <w:szCs w:val="21"/>
        </w:rPr>
        <w:t>是</w:t>
        <w:tab/>
        <w:t>□ 否</w:t>
        <w:tab/>
        <w:t>√ 不适用。</w:t>
      </w:r>
      <w:r>
        <w:rPr>
          <w:rFonts w:ascii="宋体" w:hAnsi="宋体" w:cs="宋体" w:eastAsia="宋体" w:hint="default"/>
          <w:w w:val="100"/>
          <w:sz w:val="21"/>
          <w:szCs w:val="21"/>
        </w:rPr>
        <w:t> </w:t>
      </w:r>
      <w:r>
        <w:rPr>
          <w:rFonts w:ascii="宋体" w:hAnsi="宋体" w:cs="宋体" w:eastAsia="宋体" w:hint="default"/>
          <w:b/>
          <w:bCs/>
          <w:sz w:val="21"/>
          <w:szCs w:val="21"/>
        </w:rPr>
        <w:t>七、境内外会计准则下会计数据差异</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适用</w:t>
        <w:tab/>
        <w:t>√ 不适用。</w:t>
      </w:r>
    </w:p>
    <w:p>
      <w:pPr>
        <w:spacing w:before="82"/>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八、分季度主要财务指标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1000" w:top="1140" w:bottom="1200" w:left="1080" w:right="960"/>
        </w:sectPr>
      </w:pPr>
    </w:p>
    <w:p>
      <w:pPr>
        <w:pStyle w:val="BodyText"/>
        <w:spacing w:line="240" w:lineRule="auto" w:before="131"/>
        <w:ind w:left="813" w:right="1174"/>
        <w:jc w:val="left"/>
      </w:pPr>
      <w:r>
        <w:rPr/>
        <w:t>2017</w:t>
      </w:r>
      <w:r>
        <w:rPr>
          <w:spacing w:val="-56"/>
        </w:rPr>
        <w:t> </w:t>
      </w:r>
      <w:r>
        <w:rPr/>
        <w:t>年公司分季度主要财务指标见下表(单位：元)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21"/>
        <w:gridCol w:w="1754"/>
        <w:gridCol w:w="1754"/>
        <w:gridCol w:w="1754"/>
        <w:gridCol w:w="1754"/>
      </w:tblGrid>
      <w:tr>
        <w:trPr>
          <w:trHeight w:val="466" w:hRule="exact"/>
        </w:trPr>
        <w:tc>
          <w:tcPr>
            <w:tcW w:w="2621"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48"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394,606,437.67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473,460,123.95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536,723,959.77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702,594,566.22</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45,685,374.42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62,121,752.53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69,610,848.10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51,163,241.70</w:t>
            </w:r>
          </w:p>
        </w:tc>
      </w:tr>
      <w:tr>
        <w:trPr>
          <w:trHeight w:val="54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1"/>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归属于上市公司股东的扣除非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经常性损益的净利润</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45,660,615.71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62,301,401.04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62,670,557.06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56,004,213.38</w:t>
            </w:r>
          </w:p>
        </w:tc>
      </w:tr>
      <w:tr>
        <w:trPr>
          <w:trHeight w:val="35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-103,484,802.21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-20,787,896.81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13,195,988.89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154,240,033.45</w:t>
            </w:r>
          </w:p>
        </w:tc>
      </w:tr>
    </w:tbl>
    <w:p>
      <w:pPr>
        <w:spacing w:line="240" w:lineRule="auto" w:before="3"/>
        <w:rPr>
          <w:rFonts w:ascii="宋体" w:hAnsi="宋体" w:cs="宋体" w:eastAsia="宋体" w:hint="default"/>
          <w:sz w:val="8"/>
          <w:szCs w:val="8"/>
        </w:rPr>
      </w:pPr>
    </w:p>
    <w:p>
      <w:pPr>
        <w:pStyle w:val="BodyText"/>
        <w:spacing w:line="240" w:lineRule="auto" w:before="36"/>
        <w:ind w:left="813" w:right="342"/>
        <w:jc w:val="left"/>
      </w:pPr>
      <w:r>
        <w:rPr/>
        <w:t>上述财务指标或其加总数是否与公司已披露季度报告、半年度报告相关财务指标存在重大差异</w:t>
      </w:r>
    </w:p>
    <w:p>
      <w:pPr>
        <w:tabs>
          <w:tab w:pos="1550" w:val="left" w:leader="none"/>
        </w:tabs>
        <w:spacing w:line="513" w:lineRule="auto" w:before="37"/>
        <w:ind w:left="815" w:right="6517" w:hanging="3"/>
        <w:jc w:val="left"/>
        <w:rPr>
          <w:rFonts w:ascii="宋体" w:hAnsi="宋体" w:cs="宋体" w:eastAsia="宋体" w:hint="default"/>
          <w:sz w:val="21"/>
          <w:szCs w:val="21"/>
        </w:rPr>
      </w:pPr>
      <w:r>
        <w:rPr/>
        <w:pict>
          <v:shape style="position:absolute;margin-left:59.279999pt;margin-top:49.271366pt;width:482.65pt;height:218.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0"/>
                    <w:gridCol w:w="4272"/>
                    <w:gridCol w:w="1560"/>
                    <w:gridCol w:w="1418"/>
                    <w:gridCol w:w="1558"/>
                  </w:tblGrid>
                  <w:tr>
                    <w:trPr>
                      <w:trHeight w:val="350" w:hRule="exact"/>
                    </w:trPr>
                    <w:tc>
                      <w:tcPr>
                        <w:tcW w:w="5102"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2"/>
                            <w:sz w:val="18"/>
                            <w:szCs w:val="18"/>
                          </w:rPr>
                          <w:t> </w:t>
                        </w:r>
                        <w:r>
                          <w:rPr>
                            <w:rFonts w:ascii="宋体" w:hAnsi="宋体" w:cs="宋体" w:eastAsia="宋体" w:hint="default"/>
                            <w:sz w:val="18"/>
                            <w:szCs w:val="18"/>
                          </w:rPr>
                          <w:t>额(元)</w:t>
                        </w:r>
                      </w:p>
                    </w:tc>
                  </w:tr>
                  <w:tr>
                    <w:trPr>
                      <w:trHeight w:val="350" w:hRule="exact"/>
                    </w:trPr>
                    <w:tc>
                      <w:tcPr>
                        <w:tcW w:w="5102" w:type="dxa"/>
                        <w:gridSpan w:val="2"/>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48"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-81,880.85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-859,713.74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-596,684.49</w:t>
                        </w:r>
                      </w:p>
                    </w:tc>
                  </w:tr>
                  <w:tr>
                    <w:trPr>
                      <w:trHeight w:val="492"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标准定额或定量享受的政府补助除外)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6,837,717.00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9,043,335.70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sz w:val="18"/>
                          </w:rPr>
                          <w:t>485,800.00</w:t>
                        </w:r>
                      </w:p>
                    </w:tc>
                  </w:tr>
                  <w:tr>
                    <w:trPr>
                      <w:trHeight w:val="946"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z w:val="18"/>
                            <w:szCs w:val="18"/>
                          </w:rPr>
                          <w:t>性金融资产、交易性金融负债产生的公允价值变动损益，以及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处置交易性金融资产、交易性金融负债和可供出售金融资产取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得的投资收益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104,182.24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-86,490.25</w:t>
                        </w:r>
                      </w:p>
                    </w:tc>
                  </w:tr>
                  <w:tr>
                    <w:trPr>
                      <w:trHeight w:val="348"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3,000,000.00</w:t>
                        </w:r>
                      </w:p>
                    </w:tc>
                  </w:tr>
                  <w:tr>
                    <w:trPr>
                      <w:trHeight w:val="350"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-4,471,530.11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-2,224,011.90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-5,902,483.35</w:t>
                        </w:r>
                      </w:p>
                    </w:tc>
                  </w:tr>
                  <w:tr>
                    <w:trPr>
                      <w:trHeight w:val="350"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444,058.72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959,174.09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-1,302,479.05</w:t>
                        </w:r>
                      </w:p>
                    </w:tc>
                  </w:tr>
                  <w:tr>
                    <w:trPr>
                      <w:trHeight w:val="350"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1,944,429.56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5,000,435.97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-1,797,379.04</w:t>
                        </w:r>
                      </w:p>
                    </w:tc>
                  </w:tr>
                  <w:tr>
                    <w:trPr>
                      <w:trHeight w:val="478" w:hRule="exact"/>
                    </w:trPr>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8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pacing w:val="-39"/>
                            <w:sz w:val="18"/>
                            <w:szCs w:val="18"/>
                          </w:rPr>
                          <w:t> </w:t>
                        </w:r>
                        <w:r>
                          <w:rPr>
                            <w:rFonts w:ascii="宋体" w:hAnsi="宋体" w:cs="宋体" w:eastAsia="宋体" w:hint="default"/>
                            <w:sz w:val="18"/>
                            <w:szCs w:val="18"/>
                          </w:rPr>
                          <w:t>683.77</w:t>
                        </w:r>
                        <w:r>
                          <w:rPr>
                            <w:rFonts w:ascii="宋体" w:hAnsi="宋体" w:cs="宋体" w:eastAsia="宋体" w:hint="default"/>
                            <w:spacing w:val="-38"/>
                            <w:sz w:val="18"/>
                            <w:szCs w:val="18"/>
                          </w:rPr>
                          <w:t> </w:t>
                        </w:r>
                        <w:r>
                          <w:rPr>
                            <w:rFonts w:ascii="宋体" w:hAnsi="宋体" w:cs="宋体" w:eastAsia="宋体" w:hint="default"/>
                            <w:sz w:val="18"/>
                            <w:szCs w:val="18"/>
                          </w:rPr>
                          <w:t>万元是长实通信本期收到企业扶持金</w:t>
                        </w:r>
                        <w:r>
                          <w:rPr>
                            <w:rFonts w:ascii="宋体" w:hAnsi="宋体" w:cs="宋体" w:eastAsia="宋体" w:hint="default"/>
                            <w:spacing w:val="-39"/>
                            <w:sz w:val="18"/>
                            <w:szCs w:val="18"/>
                          </w:rPr>
                          <w:t> </w:t>
                        </w:r>
                        <w:r>
                          <w:rPr>
                            <w:rFonts w:ascii="宋体" w:hAnsi="宋体" w:cs="宋体" w:eastAsia="宋体" w:hint="default"/>
                            <w:sz w:val="18"/>
                            <w:szCs w:val="18"/>
                          </w:rPr>
                          <w:t>122.64</w:t>
                        </w:r>
                        <w:r>
                          <w:rPr>
                            <w:rFonts w:ascii="宋体" w:hAnsi="宋体" w:cs="宋体" w:eastAsia="宋体" w:hint="default"/>
                            <w:spacing w:val="-38"/>
                            <w:sz w:val="18"/>
                            <w:szCs w:val="18"/>
                          </w:rPr>
                          <w:t> </w:t>
                        </w:r>
                        <w:r>
                          <w:rPr>
                            <w:rFonts w:ascii="宋体" w:hAnsi="宋体" w:cs="宋体" w:eastAsia="宋体" w:hint="default"/>
                            <w:sz w:val="18"/>
                            <w:szCs w:val="18"/>
                          </w:rPr>
                          <w:t>万元、总部企业奖励</w:t>
                        </w:r>
                        <w:r>
                          <w:rPr>
                            <w:rFonts w:ascii="宋体" w:hAnsi="宋体" w:cs="宋体" w:eastAsia="宋体" w:hint="default"/>
                            <w:spacing w:val="-39"/>
                            <w:sz w:val="18"/>
                            <w:szCs w:val="18"/>
                          </w:rPr>
                          <w:t> </w:t>
                        </w:r>
                        <w:r>
                          <w:rPr>
                            <w:rFonts w:ascii="宋体" w:hAnsi="宋体" w:cs="宋体" w:eastAsia="宋体" w:hint="default"/>
                            <w:sz w:val="18"/>
                            <w:szCs w:val="18"/>
                          </w:rPr>
                          <w:t>509.61</w:t>
                        </w:r>
                        <w:r>
                          <w:rPr>
                            <w:rFonts w:ascii="宋体" w:hAnsi="宋体" w:cs="宋体" w:eastAsia="宋体" w:hint="default"/>
                            <w:spacing w:val="-40"/>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元、稳岗补贴</w:t>
                        </w:r>
                        <w:r>
                          <w:rPr>
                            <w:rFonts w:ascii="宋体" w:hAnsi="宋体" w:cs="宋体" w:eastAsia="宋体" w:hint="default"/>
                            <w:spacing w:val="-45"/>
                            <w:sz w:val="18"/>
                            <w:szCs w:val="18"/>
                          </w:rPr>
                          <w:t> </w:t>
                        </w:r>
                        <w:r>
                          <w:rPr>
                            <w:rFonts w:ascii="宋体" w:hAnsi="宋体" w:cs="宋体" w:eastAsia="宋体" w:hint="default"/>
                            <w:sz w:val="18"/>
                            <w:szCs w:val="18"/>
                          </w:rPr>
                          <w:t>51.52</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p>
              </w:txbxContent>
            </v:textbox>
            <w10:wrap type="none"/>
          </v:shape>
        </w:pict>
      </w:r>
      <w:r>
        <w:rPr>
          <w:rFonts w:ascii="Microsoft Sans Serif" w:hAnsi="Microsoft Sans Serif" w:cs="Microsoft Sans Serif" w:eastAsia="Microsoft Sans Serif" w:hint="default"/>
          <w:sz w:val="22"/>
          <w:szCs w:val="22"/>
        </w:rPr>
        <w:t>□  </w:t>
      </w:r>
      <w:r>
        <w:rPr>
          <w:rFonts w:ascii="Microsoft Sans Serif" w:hAnsi="Microsoft Sans Serif" w:cs="Microsoft Sans Serif" w:eastAsia="Microsoft Sans Serif" w:hint="default"/>
          <w:spacing w:val="9"/>
          <w:sz w:val="22"/>
          <w:szCs w:val="22"/>
        </w:rPr>
        <w:t> </w:t>
      </w:r>
      <w:r>
        <w:rPr>
          <w:rFonts w:ascii="宋体" w:hAnsi="宋体" w:cs="宋体" w:eastAsia="宋体" w:hint="default"/>
          <w:sz w:val="21"/>
          <w:szCs w:val="21"/>
        </w:rPr>
        <w:t>是</w:t>
        <w:tab/>
        <w:t>√ 否</w:t>
      </w:r>
      <w:r>
        <w:rPr>
          <w:rFonts w:ascii="宋体" w:hAnsi="宋体" w:cs="宋体" w:eastAsia="宋体" w:hint="default"/>
          <w:w w:val="100"/>
          <w:sz w:val="21"/>
          <w:szCs w:val="21"/>
        </w:rPr>
        <w:t> </w:t>
      </w:r>
      <w:r>
        <w:rPr>
          <w:rFonts w:ascii="宋体" w:hAnsi="宋体" w:cs="宋体" w:eastAsia="宋体" w:hint="default"/>
          <w:b/>
          <w:bCs/>
          <w:sz w:val="21"/>
          <w:szCs w:val="21"/>
        </w:rPr>
        <w:t>九、非经常损益项目及金额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BodyText"/>
        <w:spacing w:line="271" w:lineRule="auto" w:before="36"/>
        <w:ind w:left="393" w:right="447" w:firstLine="420"/>
        <w:jc w:val="left"/>
      </w:pPr>
      <w:r>
        <w:rPr/>
        <w:t>注：公司报告期不存在将根据《公开发行证券的公司信息披露解释性公告第</w:t>
      </w:r>
      <w:r>
        <w:rPr>
          <w:spacing w:val="-66"/>
        </w:rPr>
        <w:t> </w:t>
      </w:r>
      <w:r>
        <w:rPr/>
        <w:t>1</w:t>
      </w:r>
      <w:r>
        <w:rPr>
          <w:spacing w:val="-64"/>
        </w:rPr>
        <w:t> </w:t>
      </w:r>
      <w:r>
        <w:rPr/>
        <w:t>号——非经常性</w:t>
      </w:r>
      <w:r>
        <w:rPr>
          <w:w w:val="100"/>
        </w:rPr>
        <w:t> </w:t>
      </w:r>
      <w:r>
        <w:rPr/>
        <w:t>损益》定义、列举的非经常性损益项目界定为经常性损益的项目的情形。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286" w:val="left" w:leader="none"/>
        </w:tabs>
        <w:spacing w:before="173"/>
        <w:ind w:left="0" w:right="66" w:firstLine="0"/>
        <w:jc w:val="center"/>
        <w:rPr>
          <w:rFonts w:ascii="宋体" w:hAnsi="宋体" w:cs="宋体" w:eastAsia="宋体" w:hint="default"/>
          <w:sz w:val="32"/>
          <w:szCs w:val="32"/>
        </w:rPr>
      </w:pPr>
      <w:r>
        <w:rPr>
          <w:rFonts w:ascii="宋体" w:hAnsi="宋体" w:cs="宋体" w:eastAsia="宋体" w:hint="default"/>
          <w:b/>
          <w:bCs/>
          <w:w w:val="95"/>
          <w:sz w:val="32"/>
          <w:szCs w:val="32"/>
        </w:rPr>
        <w:t>第三章</w:t>
        <w:tab/>
      </w:r>
      <w:r>
        <w:rPr>
          <w:rFonts w:ascii="宋体" w:hAnsi="宋体" w:cs="宋体" w:eastAsia="宋体" w:hint="default"/>
          <w:b/>
          <w:bCs/>
          <w:sz w:val="32"/>
          <w:szCs w:val="32"/>
        </w:rPr>
        <w:t>公司业务概要</w:t>
      </w:r>
      <w:r>
        <w:rPr>
          <w:rFonts w:ascii="宋体" w:hAnsi="宋体" w:cs="宋体" w:eastAsia="宋体" w:hint="default"/>
          <w:sz w:val="32"/>
          <w:szCs w:val="32"/>
        </w:rPr>
      </w:r>
    </w:p>
    <w:p>
      <w:pPr>
        <w:spacing w:line="470" w:lineRule="atLeast" w:before="258"/>
        <w:ind w:left="815" w:right="5868" w:firstLine="0"/>
        <w:jc w:val="left"/>
        <w:rPr>
          <w:rFonts w:ascii="宋体" w:hAnsi="宋体" w:cs="宋体" w:eastAsia="宋体" w:hint="default"/>
          <w:sz w:val="21"/>
          <w:szCs w:val="21"/>
        </w:rPr>
      </w:pPr>
      <w:r>
        <w:rPr>
          <w:rFonts w:ascii="宋体" w:hAnsi="宋体" w:cs="宋体" w:eastAsia="宋体" w:hint="default"/>
          <w:b/>
          <w:bCs/>
          <w:sz w:val="21"/>
          <w:szCs w:val="21"/>
        </w:rPr>
        <w:t>一、报告期内公司从事的主要业务</w:t>
      </w:r>
      <w:r>
        <w:rPr>
          <w:rFonts w:ascii="宋体" w:hAnsi="宋体" w:cs="宋体" w:eastAsia="宋体" w:hint="default"/>
          <w:b/>
          <w:bCs/>
          <w:w w:val="100"/>
          <w:sz w:val="21"/>
          <w:szCs w:val="21"/>
        </w:rPr>
        <w:t> </w:t>
      </w:r>
      <w:r>
        <w:rPr>
          <w:rFonts w:ascii="宋体" w:hAnsi="宋体" w:cs="宋体" w:eastAsia="宋体" w:hint="default"/>
          <w:b/>
          <w:bCs/>
          <w:sz w:val="21"/>
          <w:szCs w:val="21"/>
        </w:rPr>
        <w:t>(一)主要业务</w:t>
      </w:r>
      <w:r>
        <w:rPr>
          <w:rFonts w:ascii="宋体" w:hAnsi="宋体" w:cs="宋体" w:eastAsia="宋体" w:hint="default"/>
          <w:sz w:val="21"/>
          <w:szCs w:val="21"/>
        </w:rPr>
      </w:r>
    </w:p>
    <w:p>
      <w:pPr>
        <w:pStyle w:val="BodyText"/>
        <w:spacing w:line="273" w:lineRule="auto" w:before="37"/>
        <w:ind w:left="393" w:right="342" w:firstLine="420"/>
        <w:jc w:val="left"/>
      </w:pPr>
      <w:r>
        <w:rPr>
          <w:spacing w:val="-5"/>
        </w:rPr>
        <w:t>公司主营业务为信息智能传输、通信网络维护，其他业务包括移动互联网软件开发及应用服务。</w:t>
      </w:r>
      <w:r>
        <w:rPr>
          <w:w w:val="100"/>
        </w:rPr>
        <w:t> </w:t>
      </w:r>
      <w:r>
        <w:rPr/>
        <w:t>本公司为控股型企业，母公司没有经营业务，主要业务由两家全资子公司经营，创世漫道主营信息</w:t>
      </w:r>
      <w:r>
        <w:rPr>
          <w:w w:val="100"/>
        </w:rPr>
        <w:t> </w:t>
      </w:r>
      <w:r>
        <w:rPr/>
        <w:t>智能传输，其他业务涉及移动互联网软件开发及应用服务、流量经营业务；长实通信主营通信网络</w:t>
      </w:r>
      <w:r>
        <w:rPr>
          <w:w w:val="100"/>
        </w:rPr>
        <w:t> </w:t>
      </w:r>
      <w:r>
        <w:rPr/>
        <w:t>维护。报告期创世漫道的其他业务、长实通信开始的相关工程类业务的营业收入规模比较小。</w:t>
      </w:r>
    </w:p>
    <w:p>
      <w:pPr>
        <w:pStyle w:val="BodyText"/>
        <w:spacing w:line="273" w:lineRule="auto" w:before="70"/>
        <w:ind w:left="393" w:right="452" w:firstLine="420"/>
        <w:jc w:val="both"/>
      </w:pPr>
      <w:r>
        <w:rPr/>
        <w:t>1、信息智能传输业务即创世漫道利用通信运营商移动通信网络系统及互联网，凭借自主研发</w:t>
      </w:r>
      <w:r>
        <w:rPr>
          <w:w w:val="100"/>
        </w:rPr>
        <w:t> </w:t>
      </w:r>
      <w:r>
        <w:rPr>
          <w:spacing w:val="-2"/>
        </w:rPr>
        <w:t>的独立系统核心处理平台，向行业分布广泛、数量众多的企业公司、事业单位等客户提供的指定手</w:t>
      </w:r>
      <w:r>
        <w:rPr>
          <w:spacing w:val="-46"/>
        </w:rPr>
        <w:t> </w:t>
      </w:r>
      <w:r>
        <w:rPr>
          <w:spacing w:val="-46"/>
        </w:rPr>
      </w:r>
      <w:r>
        <w:rPr>
          <w:spacing w:val="-2"/>
        </w:rPr>
        <w:t>机用户发送有真实需求的身份验证、提醒通知、信息确认、信息告知等触发类和有真实需求的短信</w:t>
      </w:r>
      <w:r>
        <w:rPr>
          <w:spacing w:val="-46"/>
        </w:rPr>
        <w:t> </w:t>
      </w:r>
      <w:r>
        <w:rPr>
          <w:spacing w:val="-46"/>
        </w:rPr>
      </w:r>
      <w:r>
        <w:rPr/>
        <w:t>(含彩信.下同)，包括文字、图片或语音等格式载体，以及将指定手机用户向客户发送的短信息收</w:t>
      </w:r>
      <w:r>
        <w:rPr>
          <w:spacing w:val="-22"/>
        </w:rPr>
        <w:t> </w:t>
      </w:r>
      <w:r>
        <w:rPr>
          <w:spacing w:val="-22"/>
        </w:rPr>
      </w:r>
      <w:r>
        <w:rPr>
          <w:spacing w:val="-2"/>
        </w:rPr>
        <w:t>集并回传的服务。同时为客户提供短信发送的各类接口产品及技术支持。有关创世漫道的业务流程</w:t>
      </w:r>
    </w:p>
    <w:p>
      <w:pPr>
        <w:spacing w:after="0" w:line="273" w:lineRule="auto"/>
        <w:jc w:val="both"/>
        <w:sectPr>
          <w:pgSz w:w="11910" w:h="16840"/>
          <w:pgMar w:header="884" w:footer="1000" w:top="1140" w:bottom="1200" w:left="1080" w:right="960"/>
        </w:sectPr>
      </w:pPr>
    </w:p>
    <w:p>
      <w:pPr>
        <w:pStyle w:val="BodyText"/>
        <w:spacing w:line="240" w:lineRule="auto" w:before="131"/>
        <w:ind w:left="393" w:right="1174"/>
        <w:jc w:val="left"/>
      </w:pPr>
      <w:r>
        <w:rPr/>
        <w:pict>
          <v:group style="position:absolute;margin-left:231.720001pt;margin-top:42.816811pt;width:270.1pt;height:34.6pt;mso-position-horizontal-relative:page;mso-position-vertical-relative:paragraph;z-index:-860152" coordorigin="4634,856" coordsize="5402,692">
            <v:group style="position:absolute;left:7162;top:1082;width:1208;height:120" coordorigin="7162,1082" coordsize="1208,120">
              <v:shape style="position:absolute;left:7162;top:1082;width:1208;height:120" coordorigin="7162,1082" coordsize="1208,120" path="m8249,1082l8249,1202,8354,1149,8270,1149,8275,1147,8278,1142,8275,1137,8270,1135,8354,1135,8249,1082xe" filled="true" fillcolor="#000000" stroked="false">
                <v:path arrowok="t"/>
                <v:fill type="solid"/>
              </v:shape>
              <v:shape style="position:absolute;left:7162;top:1082;width:1208;height:120" coordorigin="7162,1082" coordsize="1208,120" path="m8249,1135l7169,1135,7164,1137,7162,1142,7164,1147,7169,1149,8249,1149,8249,1135xe" filled="true" fillcolor="#000000" stroked="false">
                <v:path arrowok="t"/>
                <v:fill type="solid"/>
              </v:shape>
              <v:shape style="position:absolute;left:7162;top:1082;width:1208;height:120" coordorigin="7162,1082" coordsize="1208,120" path="m8354,1135l8270,1135,8275,1137,8278,1142,8275,1147,8270,1149,8354,1149,8369,1142,8354,1135xe" filled="true" fillcolor="#000000" stroked="false">
                <v:path arrowok="t"/>
                <v:fill type="solid"/>
              </v:shape>
            </v:group>
            <v:group style="position:absolute;left:7169;top:1248;width:1210;height:120" coordorigin="7169,1248" coordsize="1210,120">
              <v:shape style="position:absolute;left:7169;top:1248;width:1210;height:120" coordorigin="7169,1248" coordsize="1210,120" path="m7289,1248l7169,1308,7289,1368,7289,1315,7270,1315,7265,1312,7262,1308,7265,1303,7270,1300,7289,1300,7289,1248xe" filled="true" fillcolor="#000000" stroked="false">
                <v:path arrowok="t"/>
                <v:fill type="solid"/>
              </v:shape>
              <v:shape style="position:absolute;left:7169;top:1248;width:1210;height:120" coordorigin="7169,1248" coordsize="1210,120" path="m7289,1300l7270,1300,7265,1303,7262,1308,7265,1312,7270,1315,7289,1315,7289,1300xe" filled="true" fillcolor="#000000" stroked="false">
                <v:path arrowok="t"/>
                <v:fill type="solid"/>
              </v:shape>
              <v:shape style="position:absolute;left:7169;top:1248;width:1210;height:120" coordorigin="7169,1248" coordsize="1210,120" path="m8369,1300l7289,1300,7289,1315,8369,1315,8376,1312,8378,1308,8376,1303,8369,1300xe" filled="true" fillcolor="#000000" stroked="false">
                <v:path arrowok="t"/>
                <v:fill type="solid"/>
              </v:shape>
              <v:shape style="position:absolute;left:4634;top:856;width:2535;height:692" type="#_x0000_t202" filled="true" fillcolor="#9bbb59" stroked="true" strokeweight="3.0pt" strokecolor="#f2f2f2">
                <v:textbox inset="0,0,0,0">
                  <w:txbxContent>
                    <w:p>
                      <w:pPr>
                        <w:spacing w:line="232" w:lineRule="exact" w:before="67"/>
                        <w:ind w:left="145" w:right="140" w:firstLine="0"/>
                        <w:jc w:val="left"/>
                        <w:rPr>
                          <w:rFonts w:ascii="宋体" w:hAnsi="宋体" w:cs="宋体" w:eastAsia="宋体" w:hint="default"/>
                          <w:sz w:val="18"/>
                          <w:szCs w:val="18"/>
                        </w:rPr>
                      </w:pPr>
                      <w:r>
                        <w:rPr>
                          <w:rFonts w:ascii="宋体" w:hAnsi="宋体" w:cs="宋体" w:eastAsia="宋体" w:hint="default"/>
                          <w:sz w:val="18"/>
                          <w:szCs w:val="18"/>
                        </w:rPr>
                        <w:t>由客户端、后台、网关等组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成的创世漫道核心处理平台</w:t>
                      </w:r>
                    </w:p>
                  </w:txbxContent>
                </v:textbox>
                <v:fill type="solid"/>
                <w10:wrap type="none"/>
              </v:shape>
              <v:shape style="position:absolute;left:8370;top:1009;width:1666;height:491" type="#_x0000_t202" filled="true" fillcolor="#9bbb59" stroked="false">
                <v:textbox inset="0,0,0,0">
                  <w:txbxContent>
                    <w:p>
                      <w:pPr>
                        <w:spacing w:before="58"/>
                        <w:ind w:left="122" w:right="0" w:firstLine="0"/>
                        <w:jc w:val="left"/>
                        <w:rPr>
                          <w:rFonts w:ascii="宋体" w:hAnsi="宋体" w:cs="宋体" w:eastAsia="宋体" w:hint="default"/>
                          <w:sz w:val="18"/>
                          <w:szCs w:val="18"/>
                        </w:rPr>
                      </w:pPr>
                      <w:r>
                        <w:rPr>
                          <w:rFonts w:ascii="宋体" w:hAnsi="宋体" w:cs="宋体" w:eastAsia="宋体" w:hint="default"/>
                          <w:sz w:val="18"/>
                          <w:szCs w:val="18"/>
                        </w:rPr>
                        <w:t>电信运营商网络</w:t>
                      </w:r>
                    </w:p>
                  </w:txbxContent>
                </v:textbox>
                <v:fill type="solid"/>
                <w10:wrap type="none"/>
              </v:shape>
            </v:group>
            <w10:wrap type="none"/>
          </v:group>
        </w:pict>
      </w:r>
      <w:r>
        <w:rPr/>
        <w:t>如下图所示。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1440" w:lineRule="exact"/>
        <w:ind w:left="804"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373.8pt;height:72pt;mso-position-horizontal-relative:char;mso-position-vertical-relative:line" coordorigin="0,0" coordsize="7476,1440">
            <v:shape style="position:absolute;left:3185;top:1243;width:1757;height:197" type="#_x0000_t75" stroked="false">
              <v:imagedata r:id="rId18" o:title=""/>
            </v:shape>
            <v:group style="position:absolute;left:7250;top:511;width:3;height:634" coordorigin="7250,511" coordsize="3,634">
              <v:shape style="position:absolute;left:7250;top:511;width:3;height:634" coordorigin="7250,511" coordsize="3,634" path="m7250,511l7253,1145e" filled="false" stroked="true" strokeweight=".72pt" strokecolor="#000000">
                <v:path arrowok="t"/>
              </v:shape>
            </v:group>
            <v:group style="position:absolute;left:4942;top:1085;width:2316;height:120" coordorigin="4942,1085" coordsize="2316,120">
              <v:shape style="position:absolute;left:4942;top:1085;width:2316;height:120" coordorigin="4942,1085" coordsize="2316,120" path="m5062,1085l4942,1145,5062,1205,5062,1152,5040,1152,5035,1150,5033,1145,5035,1140,5040,1138,5062,1138,5062,1085xe" filled="true" fillcolor="#000000" stroked="false">
                <v:path arrowok="t"/>
                <v:fill type="solid"/>
              </v:shape>
              <v:shape style="position:absolute;left:4942;top:1085;width:2316;height:120" coordorigin="4942,1085" coordsize="2316,120" path="m5062,1138l5040,1138,5035,1140,5033,1145,5035,1150,5040,1152,5062,1152,5062,1138xe" filled="true" fillcolor="#000000" stroked="false">
                <v:path arrowok="t"/>
                <v:fill type="solid"/>
              </v:shape>
              <v:shape style="position:absolute;left:4942;top:1085;width:2316;height:120" coordorigin="4942,1085" coordsize="2316,120" path="m7255,1138l5062,1138,5062,1152,7250,1152,7255,1150,7258,1145,7255,1138xe" filled="true" fillcolor="#000000" stroked="false">
                <v:path arrowok="t"/>
                <v:fill type="solid"/>
              </v:shape>
            </v:group>
            <v:group style="position:absolute;left:4942;top:1308;width:2475;height:2" coordorigin="4942,1308" coordsize="2475,2">
              <v:shape style="position:absolute;left:4942;top:1308;width:2475;height:2" coordorigin="4942,1308" coordsize="2475,0" path="m4942,1308l7416,1308e" filled="false" stroked="true" strokeweight=".72pt" strokecolor="#000000">
                <v:path arrowok="t"/>
              </v:shape>
            </v:group>
            <v:group style="position:absolute;left:7356;top:511;width:120;height:807" coordorigin="7356,511" coordsize="120,807">
              <v:shape style="position:absolute;left:7356;top:511;width:120;height:807" coordorigin="7356,511" coordsize="120,807" path="m7416,602l7411,605,7409,612,7409,1308,7411,1315,7416,1318,7421,1315,7423,1308,7423,612,7421,605,7416,602xe" filled="true" fillcolor="#000000" stroked="false">
                <v:path arrowok="t"/>
                <v:fill type="solid"/>
              </v:shape>
              <v:shape style="position:absolute;left:7356;top:511;width:120;height:807" coordorigin="7356,511" coordsize="120,807" path="m7416,511l7356,631,7409,631,7409,612,7411,605,7416,602,7462,602,7416,511xe" filled="true" fillcolor="#000000" stroked="false">
                <v:path arrowok="t"/>
                <v:fill type="solid"/>
              </v:shape>
              <v:shape style="position:absolute;left:7356;top:511;width:120;height:807" coordorigin="7356,511" coordsize="120,807" path="m7462,602l7416,602,7421,605,7423,612,7423,631,7476,631,7462,602xe" filled="true" fillcolor="#000000" stroked="false">
                <v:path arrowok="t"/>
                <v:fill type="solid"/>
              </v:shape>
            </v:group>
            <v:group style="position:absolute;left:742;top:1234;width:2444;height:2" coordorigin="742,1234" coordsize="2444,2">
              <v:shape style="position:absolute;left:742;top:1234;width:2444;height:2" coordorigin="742,1234" coordsize="2444,0" path="m3185,1234l742,1234e" filled="false" stroked="true" strokeweight=".72pt" strokecolor="#000000">
                <v:path arrowok="t"/>
              </v:shape>
            </v:group>
            <v:group style="position:absolute;left:41;top:41;width:1500;height:456" coordorigin="41,41" coordsize="1500,456">
              <v:shape style="position:absolute;left:41;top:41;width:1500;height:456" coordorigin="41,41" coordsize="1500,456" path="m41,41l1541,41,1541,497,41,497,41,41xe" filled="true" fillcolor="#c3d69b" stroked="false">
                <v:path arrowok="t"/>
                <v:fill type="solid"/>
              </v:shape>
            </v:group>
            <v:group style="position:absolute;left:0;top:0;width:1500;height:456" coordorigin="0,0" coordsize="1500,456">
              <v:shape style="position:absolute;left:0;top:0;width:1500;height:456" coordorigin="0,0" coordsize="1500,456" path="m0,0l1500,0,1500,456,0,456,0,0xe" filled="true" fillcolor="#5d7035" stroked="false">
                <v:path arrowok="t"/>
                <v:fill type="solid"/>
              </v:shape>
            </v:group>
            <v:group style="position:absolute;left:22;top:22;width:1500;height:456" coordorigin="22,22" coordsize="1500,456">
              <v:shape style="position:absolute;left:22;top:22;width:1500;height:456" coordorigin="22,22" coordsize="1500,456" path="m22,22l1522,22,1522,478,22,478,22,22xe" filled="true" fillcolor="#9bbb59" stroked="false">
                <v:path arrowok="t"/>
                <v:fill type="solid"/>
              </v:shape>
            </v:group>
            <v:group style="position:absolute;left:1514;top:94;width:1236;height:120" coordorigin="1514,94" coordsize="1236,120">
              <v:shape style="position:absolute;left:1514;top:94;width:1236;height:120" coordorigin="1514,94" coordsize="1236,120" path="m2630,94l2630,214,2736,161,2652,161,2657,158,2659,154,2657,149,2652,146,2736,146,2630,94xe" filled="true" fillcolor="#000000" stroked="false">
                <v:path arrowok="t"/>
                <v:fill type="solid"/>
              </v:shape>
              <v:shape style="position:absolute;left:1514;top:94;width:1236;height:120" coordorigin="1514,94" coordsize="1236,120" path="m2630,146l1522,146,1517,149,1514,154,1517,158,1522,161,2630,161,2630,146xe" filled="true" fillcolor="#000000" stroked="false">
                <v:path arrowok="t"/>
                <v:fill type="solid"/>
              </v:shape>
              <v:shape style="position:absolute;left:1514;top:94;width:1236;height:120" coordorigin="1514,94" coordsize="1236,120" path="m2736,146l2652,146,2657,149,2659,154,2657,158,2652,161,2736,161,2750,154,2736,146xe" filled="true" fillcolor="#000000" stroked="false">
                <v:path arrowok="t"/>
                <v:fill type="solid"/>
              </v:shape>
            </v:group>
            <v:group style="position:absolute;left:1522;top:259;width:1236;height:120" coordorigin="1522,259" coordsize="1236,120">
              <v:shape style="position:absolute;left:1522;top:259;width:1236;height:120" coordorigin="1522,259" coordsize="1236,120" path="m1642,259l1522,319,1642,379,1642,326,1620,326,1615,324,1613,319,1615,314,1620,312,1642,312,1642,259xe" filled="true" fillcolor="#000000" stroked="false">
                <v:path arrowok="t"/>
                <v:fill type="solid"/>
              </v:shape>
              <v:shape style="position:absolute;left:1522;top:259;width:1236;height:120" coordorigin="1522,259" coordsize="1236,120" path="m1642,312l1620,312,1615,314,1613,319,1615,324,1620,326,1642,326,1642,312xe" filled="true" fillcolor="#000000" stroked="false">
                <v:path arrowok="t"/>
                <v:fill type="solid"/>
              </v:shape>
              <v:shape style="position:absolute;left:1522;top:259;width:1236;height:120" coordorigin="1522,259" coordsize="1236,120" path="m2750,312l1642,312,1642,326,2750,326,2755,324,2758,319,2755,314,2750,312xe" filled="true" fillcolor="#000000" stroked="false">
                <v:path arrowok="t"/>
                <v:fill type="solid"/>
              </v:shape>
            </v:group>
            <v:group style="position:absolute;left:742;top:511;width:2;height:723" coordorigin="742,511" coordsize="2,723">
              <v:shape style="position:absolute;left:742;top:511;width:2;height:723" coordorigin="742,511" coordsize="0,723" path="m742,1234l742,511e" filled="false" stroked="true" strokeweight=".72pt" strokecolor="#000000">
                <v:path arrowok="t"/>
              </v:shape>
              <v:shape style="position:absolute;left:20;top:20;width:1500;height:456" type="#_x0000_t202" filled="false" stroked="false">
                <v:textbox inset="0,0,0,0">
                  <w:txbxContent>
                    <w:p>
                      <w:pPr>
                        <w:spacing w:before="81"/>
                        <w:ind w:left="145" w:right="0" w:firstLine="0"/>
                        <w:jc w:val="left"/>
                        <w:rPr>
                          <w:rFonts w:ascii="宋体" w:hAnsi="宋体" w:cs="宋体" w:eastAsia="宋体" w:hint="default"/>
                          <w:sz w:val="18"/>
                          <w:szCs w:val="18"/>
                        </w:rPr>
                      </w:pPr>
                      <w:r>
                        <w:rPr>
                          <w:rFonts w:ascii="宋体" w:hAnsi="宋体" w:cs="宋体" w:eastAsia="宋体" w:hint="default"/>
                          <w:sz w:val="18"/>
                          <w:szCs w:val="18"/>
                        </w:rPr>
                        <w:t>创世漫道客户</w:t>
                      </w:r>
                    </w:p>
                  </w:txbxContent>
                </v:textbox>
                <w10:wrap type="none"/>
              </v:shape>
              <v:shape style="position:absolute;left:943;top:997;width:179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之间发生交易或服务时</w:t>
                      </w:r>
                    </w:p>
                  </w:txbxContent>
                </v:textbox>
                <w10:wrap type="none"/>
              </v:shape>
              <v:shape style="position:absolute;left:3185;top:979;width:1757;height:442" type="#_x0000_t202" filled="true" fillcolor="#9bbb59" stroked="false">
                <v:textbox inset="0,0,0,0">
                  <w:txbxContent>
                    <w:p>
                      <w:pPr>
                        <w:spacing w:before="80"/>
                        <w:ind w:left="144" w:right="0" w:firstLine="0"/>
                        <w:jc w:val="left"/>
                        <w:rPr>
                          <w:rFonts w:ascii="Calibri" w:hAnsi="Calibri" w:cs="Calibri" w:eastAsia="Calibri" w:hint="default"/>
                          <w:sz w:val="18"/>
                          <w:szCs w:val="18"/>
                        </w:rPr>
                      </w:pPr>
                      <w:r>
                        <w:rPr>
                          <w:rFonts w:ascii="宋体" w:hAnsi="宋体" w:cs="宋体" w:eastAsia="宋体" w:hint="default"/>
                          <w:sz w:val="18"/>
                          <w:szCs w:val="18"/>
                        </w:rPr>
                        <w:t>消费者</w:t>
                      </w:r>
                      <w:r>
                        <w:rPr>
                          <w:rFonts w:ascii="Calibri" w:hAnsi="Calibri" w:cs="Calibri" w:eastAsia="Calibri" w:hint="default"/>
                          <w:sz w:val="18"/>
                          <w:szCs w:val="18"/>
                        </w:rPr>
                        <w:t>(</w:t>
                      </w:r>
                      <w:r>
                        <w:rPr>
                          <w:rFonts w:ascii="宋体" w:hAnsi="宋体" w:cs="宋体" w:eastAsia="宋体" w:hint="default"/>
                          <w:sz w:val="18"/>
                          <w:szCs w:val="18"/>
                        </w:rPr>
                        <w:t>手机用户</w:t>
                      </w:r>
                      <w:r>
                        <w:rPr>
                          <w:rFonts w:ascii="Calibri" w:hAnsi="Calibri" w:cs="Calibri" w:eastAsia="Calibri" w:hint="default"/>
                          <w:sz w:val="18"/>
                          <w:szCs w:val="18"/>
                        </w:rPr>
                        <w:t>)</w:t>
                      </w:r>
                    </w:p>
                  </w:txbxContent>
                </v:textbox>
                <v:fill type="solid"/>
                <w10:wrap type="none"/>
              </v:shape>
            </v:group>
          </v:group>
        </w:pict>
      </w:r>
      <w:r>
        <w:rPr>
          <w:rFonts w:ascii="宋体" w:hAnsi="宋体" w:cs="宋体" w:eastAsia="宋体" w:hint="default"/>
          <w:position w:val="-28"/>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auto" w:before="36"/>
        <w:ind w:left="393" w:right="342" w:firstLine="420"/>
        <w:jc w:val="left"/>
      </w:pPr>
      <w:r>
        <w:rPr/>
        <w:pict>
          <v:group style="position:absolute;margin-left:95.639999pt;margin-top:108.503914pt;width:22.8pt;height:6pt;mso-position-horizontal-relative:page;mso-position-vertical-relative:paragraph;z-index:-860128" coordorigin="1913,2170" coordsize="456,120">
            <v:shape style="position:absolute;left:1913;top:2170;width:456;height:120" coordorigin="1913,2170" coordsize="456,120" path="m2249,2170l2249,2290,2354,2237,2270,2237,2275,2235,2278,2230,2275,2225,2270,2223,2354,2223,2249,2170xe" filled="true" fillcolor="#000000" stroked="false">
              <v:path arrowok="t"/>
              <v:fill type="solid"/>
            </v:shape>
            <v:shape style="position:absolute;left:1913;top:2170;width:456;height:120" coordorigin="1913,2170" coordsize="456,120" path="m2249,2223l1920,2223,1915,2225,1913,2230,1915,2235,1920,2237,2249,2237,2249,2223xe" filled="true" fillcolor="#000000" stroked="false">
              <v:path arrowok="t"/>
              <v:fill type="solid"/>
            </v:shape>
            <v:shape style="position:absolute;left:1913;top:2170;width:456;height:120" coordorigin="1913,2170" coordsize="456,120" path="m2354,2223l2270,2223,2275,2225,2278,2230,2275,2235,2270,2237,2354,2237,2369,2230,2354,2223xe" filled="true" fillcolor="#000000" stroked="false">
              <v:path arrowok="t"/>
              <v:fill type="solid"/>
            </v:shape>
            <w10:wrap type="none"/>
          </v:group>
        </w:pict>
      </w:r>
      <w:r>
        <w:rPr/>
        <w:pict>
          <v:group style="position:absolute;margin-left:179.639999pt;margin-top:108.503914pt;width:22.1pt;height:6pt;mso-position-horizontal-relative:page;mso-position-vertical-relative:paragraph;z-index:-860104" coordorigin="3593,2170" coordsize="442,120">
            <v:shape style="position:absolute;left:3593;top:2170;width:442;height:120" coordorigin="3593,2170" coordsize="442,120" path="m3914,2170l3914,2290,4020,2237,3936,2237,3941,2235,3943,2230,3941,2225,3936,2223,4020,2223,3914,2170xe" filled="true" fillcolor="#000000" stroked="false">
              <v:path arrowok="t"/>
              <v:fill type="solid"/>
            </v:shape>
            <v:shape style="position:absolute;left:3593;top:2170;width:442;height:120" coordorigin="3593,2170" coordsize="442,120" path="m3914,2223l3600,2223,3595,2225,3593,2230,3595,2235,3600,2237,3914,2237,3914,2223xe" filled="true" fillcolor="#000000" stroked="false">
              <v:path arrowok="t"/>
              <v:fill type="solid"/>
            </v:shape>
            <v:shape style="position:absolute;left:3593;top:2170;width:442;height:120" coordorigin="3593,2170" coordsize="442,120" path="m4020,2223l3936,2223,3941,2225,3943,2230,3941,2235,3936,2237,4020,2237,4034,2230,4020,2223xe" filled="true" fillcolor="#000000" stroked="false">
              <v:path arrowok="t"/>
              <v:fill type="solid"/>
            </v:shape>
            <w10:wrap type="none"/>
          </v:group>
        </w:pict>
      </w:r>
      <w:r>
        <w:rPr/>
        <w:pict>
          <v:group style="position:absolute;margin-left:269.640015pt;margin-top:108.503914pt;width:22.1pt;height:6pt;mso-position-horizontal-relative:page;mso-position-vertical-relative:paragraph;z-index:-860080" coordorigin="5393,2170" coordsize="442,120">
            <v:shape style="position:absolute;left:5393;top:2170;width:442;height:120" coordorigin="5393,2170" coordsize="442,120" path="m5714,2170l5714,2290,5820,2237,5736,2237,5741,2235,5743,2230,5741,2225,5736,2223,5820,2223,5714,2170xe" filled="true" fillcolor="#000000" stroked="false">
              <v:path arrowok="t"/>
              <v:fill type="solid"/>
            </v:shape>
            <v:shape style="position:absolute;left:5393;top:2170;width:442;height:120" coordorigin="5393,2170" coordsize="442,120" path="m5714,2223l5400,2223,5395,2225,5393,2230,5395,2235,5400,2237,5714,2237,5714,2223xe" filled="true" fillcolor="#000000" stroked="false">
              <v:path arrowok="t"/>
              <v:fill type="solid"/>
            </v:shape>
            <v:shape style="position:absolute;left:5393;top:2170;width:442;height:120" coordorigin="5393,2170" coordsize="442,120" path="m5820,2223l5736,2223,5741,2225,5743,2230,5741,2235,5736,2237,5820,2237,5834,2230,5820,2223xe" filled="true" fillcolor="#000000" stroked="false">
              <v:path arrowok="t"/>
              <v:fill type="solid"/>
            </v:shape>
            <w10:wrap type="none"/>
          </v:group>
        </w:pict>
      </w:r>
      <w:r>
        <w:rPr/>
        <w:pict>
          <v:group style="position:absolute;margin-left:363.359985pt;margin-top:108.503914pt;width:21.4pt;height:6pt;mso-position-horizontal-relative:page;mso-position-vertical-relative:paragraph;z-index:-860056" coordorigin="7267,2170" coordsize="428,120">
            <v:shape style="position:absolute;left:7267;top:2170;width:428;height:120" coordorigin="7267,2170" coordsize="428,120" path="m7574,2170l7574,2290,7680,2237,7596,2237,7601,2235,7603,2230,7601,2225,7596,2223,7680,2223,7574,2170xe" filled="true" fillcolor="#000000" stroked="false">
              <v:path arrowok="t"/>
              <v:fill type="solid"/>
            </v:shape>
            <v:shape style="position:absolute;left:7267;top:2170;width:428;height:120" coordorigin="7267,2170" coordsize="428,120" path="m7574,2223l7274,2223,7270,2225,7267,2230,7270,2235,7274,2237,7574,2237,7574,2223xe" filled="true" fillcolor="#000000" stroked="false">
              <v:path arrowok="t"/>
              <v:fill type="solid"/>
            </v:shape>
            <v:shape style="position:absolute;left:7267;top:2170;width:428;height:120" coordorigin="7267,2170" coordsize="428,120" path="m7680,2223l7596,2223,7601,2225,7603,2230,7601,2235,7596,2237,7680,2237,7694,2230,7680,2223xe" filled="true" fillcolor="#000000" stroked="false">
              <v:path arrowok="t"/>
              <v:fill type="solid"/>
            </v:shape>
            <w10:wrap type="none"/>
          </v:group>
        </w:pict>
      </w:r>
      <w:r>
        <w:rPr/>
        <w:pict>
          <v:group style="position:absolute;margin-left:478.079987pt;margin-top:108.503914pt;width:20.65pt;height:6pt;mso-position-horizontal-relative:page;mso-position-vertical-relative:paragraph;z-index:-860032" coordorigin="9562,2170" coordsize="413,120">
            <v:shape style="position:absolute;left:9562;top:2170;width:413;height:120" coordorigin="9562,2170" coordsize="413,120" path="m9854,2170l9854,2290,9960,2237,9876,2237,9881,2235,9883,2230,9881,2225,9876,2223,9960,2223,9854,2170xe" filled="true" fillcolor="#000000" stroked="false">
              <v:path arrowok="t"/>
              <v:fill type="solid"/>
            </v:shape>
            <v:shape style="position:absolute;left:9562;top:2170;width:413;height:120" coordorigin="9562,2170" coordsize="413,120" path="m9854,2223l9569,2223,9564,2225,9562,2230,9564,2235,9569,2237,9854,2237,9854,2223xe" filled="true" fillcolor="#000000" stroked="false">
              <v:path arrowok="t"/>
              <v:fill type="solid"/>
            </v:shape>
            <v:shape style="position:absolute;left:9562;top:2170;width:413;height:120" coordorigin="9562,2170" coordsize="413,120" path="m9960,2223l9876,2223,9881,2225,9883,2230,9881,2235,9876,2237,9960,2237,9974,2230,9960,2223xe" filled="true" fillcolor="#000000" stroked="false">
              <v:path arrowok="t"/>
              <v:fill type="solid"/>
            </v:shape>
            <w10:wrap type="none"/>
          </v:group>
        </w:pict>
      </w:r>
      <w:r>
        <w:rPr/>
        <w:t>2、通信网络维护业务主要是由长实通信对通信运营商所拥有的网络资源实行运行管理、故障</w:t>
      </w:r>
      <w:r>
        <w:rPr>
          <w:w w:val="100"/>
        </w:rPr>
        <w:t> </w:t>
      </w:r>
      <w:r>
        <w:rPr>
          <w:spacing w:val="-5"/>
        </w:rPr>
        <w:t>维修及日常维护等全方位的专业技术服务，保障网络正常运行，提高通信网络质量安全和运行效率。</w:t>
      </w:r>
      <w:r>
        <w:rPr>
          <w:spacing w:val="-16"/>
        </w:rPr>
        <w:t> </w:t>
      </w:r>
      <w:r>
        <w:rPr>
          <w:spacing w:val="-16"/>
        </w:rPr>
      </w:r>
      <w:r>
        <w:rPr>
          <w:spacing w:val="-4"/>
        </w:rPr>
        <w:t>维护服务的内容包括基站、线路、宽带接入、固定电话接入、WLAN </w:t>
      </w:r>
      <w:r>
        <w:rPr>
          <w:spacing w:val="-3"/>
        </w:rPr>
        <w:t>的运行管理和维护保障。有关长</w:t>
      </w:r>
      <w:r>
        <w:rPr>
          <w:spacing w:val="-67"/>
        </w:rPr>
        <w:t> </w:t>
      </w:r>
      <w:r>
        <w:rPr>
          <w:spacing w:val="-67"/>
        </w:rPr>
      </w:r>
      <w:r>
        <w:rPr/>
        <w:t>实通信的业务流程如下图所示。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tabs>
          <w:tab w:pos="1288" w:val="left" w:leader="none"/>
          <w:tab w:pos="2954" w:val="left" w:leader="none"/>
          <w:tab w:pos="4754" w:val="left" w:leader="none"/>
          <w:tab w:pos="6614" w:val="left" w:leader="none"/>
          <w:tab w:pos="8895" w:val="left" w:leader="none"/>
        </w:tabs>
        <w:spacing w:line="795" w:lineRule="exact"/>
        <w:ind w:left="330" w:right="0" w:firstLine="0"/>
        <w:rPr>
          <w:rFonts w:ascii="宋体" w:hAnsi="宋体" w:cs="宋体" w:eastAsia="宋体" w:hint="default"/>
          <w:sz w:val="20"/>
          <w:szCs w:val="20"/>
        </w:rPr>
      </w:pPr>
      <w:r>
        <w:rPr>
          <w:rFonts w:ascii="宋体"/>
          <w:position w:val="-7"/>
          <w:sz w:val="20"/>
        </w:rPr>
        <w:pict>
          <v:shape style="width:25.5pt;height:36pt;mso-position-horizontal-relative:char;mso-position-vertical-relative:line" type="#_x0000_t202" filled="true" fillcolor="#9bbb59" stroked="false">
            <w10:anchorlock/>
            <v:textbox inset="0,0,0,0">
              <w:txbxContent>
                <w:p>
                  <w:pPr>
                    <w:spacing w:line="316" w:lineRule="auto" w:before="62"/>
                    <w:ind w:left="123" w:right="165" w:firstLine="0"/>
                    <w:jc w:val="left"/>
                    <w:rPr>
                      <w:rFonts w:ascii="宋体" w:hAnsi="宋体" w:cs="宋体" w:eastAsia="宋体" w:hint="default"/>
                      <w:sz w:val="18"/>
                      <w:szCs w:val="18"/>
                    </w:rPr>
                  </w:pPr>
                  <w:r>
                    <w:rPr>
                      <w:rFonts w:ascii="宋体" w:hAnsi="宋体" w:cs="宋体" w:eastAsia="宋体" w:hint="default"/>
                      <w:sz w:val="18"/>
                      <w:szCs w:val="18"/>
                    </w:rPr>
                    <w:t>投 标</w:t>
                  </w:r>
                </w:p>
              </w:txbxContent>
            </v:textbox>
            <v:fill type="solid"/>
          </v:shape>
        </w:pict>
      </w:r>
      <w:r>
        <w:rPr>
          <w:rFonts w:ascii="宋体"/>
          <w:position w:val="-7"/>
          <w:sz w:val="20"/>
        </w:rPr>
      </w:r>
      <w:r>
        <w:rPr>
          <w:rFonts w:ascii="宋体"/>
          <w:position w:val="-7"/>
          <w:sz w:val="20"/>
        </w:rPr>
        <w:tab/>
      </w:r>
      <w:r>
        <w:rPr>
          <w:rFonts w:ascii="宋体"/>
          <w:position w:val="-15"/>
          <w:sz w:val="20"/>
        </w:rPr>
        <w:pict>
          <v:shape style="width:61.6pt;height:39.75pt;mso-position-horizontal-relative:char;mso-position-vertical-relative:line" type="#_x0000_t202" filled="true" fillcolor="#9bbb59" stroked="true" strokeweight="3.0pt" strokecolor="#f2f2f2">
            <w10:anchorlock/>
            <v:textbox inset="0,0,0,0">
              <w:txbxContent>
                <w:p>
                  <w:pPr>
                    <w:spacing w:line="316" w:lineRule="auto" w:before="79"/>
                    <w:ind w:left="145" w:right="138" w:firstLine="0"/>
                    <w:jc w:val="left"/>
                    <w:rPr>
                      <w:rFonts w:ascii="宋体" w:hAnsi="宋体" w:cs="宋体" w:eastAsia="宋体" w:hint="default"/>
                      <w:sz w:val="18"/>
                      <w:szCs w:val="18"/>
                    </w:rPr>
                  </w:pPr>
                  <w:r>
                    <w:rPr>
                      <w:rFonts w:ascii="宋体" w:hAnsi="宋体" w:cs="宋体" w:eastAsia="宋体" w:hint="default"/>
                      <w:spacing w:val="-4"/>
                      <w:sz w:val="18"/>
                      <w:szCs w:val="18"/>
                    </w:rPr>
                    <w:t>中标及签署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维护合同</w:t>
                  </w:r>
                </w:p>
              </w:txbxContent>
            </v:textbox>
            <v:fill type="solid"/>
          </v:shape>
        </w:pict>
      </w:r>
      <w:r>
        <w:rPr>
          <w:rFonts w:ascii="宋体"/>
          <w:position w:val="-15"/>
          <w:sz w:val="20"/>
        </w:rPr>
      </w:r>
      <w:r>
        <w:rPr>
          <w:rFonts w:ascii="宋体"/>
          <w:position w:val="-15"/>
          <w:sz w:val="20"/>
        </w:rPr>
        <w:tab/>
      </w:r>
      <w:r>
        <w:rPr>
          <w:rFonts w:ascii="宋体"/>
          <w:position w:val="-15"/>
          <w:sz w:val="20"/>
        </w:rPr>
        <w:pict>
          <v:shape style="width:68.3pt;height:39.75pt;mso-position-horizontal-relative:char;mso-position-vertical-relative:line" type="#_x0000_t202" filled="true" fillcolor="#9bbb59" stroked="true" strokeweight="3.0pt" strokecolor="#f2f2f2">
            <w10:anchorlock/>
            <v:textbox inset="0,0,0,0">
              <w:txbxContent>
                <w:p>
                  <w:pPr>
                    <w:spacing w:line="316" w:lineRule="auto" w:before="79"/>
                    <w:ind w:left="145" w:right="140" w:firstLine="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62"/>
                      <w:sz w:val="18"/>
                      <w:szCs w:val="18"/>
                    </w:rPr>
                    <w:t> </w:t>
                  </w:r>
                  <w:r>
                    <w:rPr>
                      <w:rFonts w:ascii="宋体" w:hAnsi="宋体" w:cs="宋体" w:eastAsia="宋体" w:hint="default"/>
                      <w:sz w:val="18"/>
                      <w:szCs w:val="18"/>
                    </w:rPr>
                    <w:t>定</w:t>
                  </w:r>
                  <w:r>
                    <w:rPr>
                      <w:rFonts w:ascii="宋体" w:hAnsi="宋体" w:cs="宋体" w:eastAsia="宋体" w:hint="default"/>
                      <w:spacing w:val="-62"/>
                      <w:sz w:val="18"/>
                      <w:szCs w:val="18"/>
                    </w:rPr>
                    <w:t> </w:t>
                  </w:r>
                  <w:r>
                    <w:rPr>
                      <w:rFonts w:ascii="宋体" w:hAnsi="宋体" w:cs="宋体" w:eastAsia="宋体" w:hint="default"/>
                      <w:sz w:val="18"/>
                      <w:szCs w:val="18"/>
                    </w:rPr>
                    <w:t>完</w:t>
                  </w:r>
                  <w:r>
                    <w:rPr>
                      <w:rFonts w:ascii="宋体" w:hAnsi="宋体" w:cs="宋体" w:eastAsia="宋体" w:hint="default"/>
                      <w:spacing w:val="-62"/>
                      <w:sz w:val="18"/>
                      <w:szCs w:val="18"/>
                    </w:rPr>
                    <w:t> </w:t>
                  </w:r>
                  <w:r>
                    <w:rPr>
                      <w:rFonts w:ascii="宋体" w:hAnsi="宋体" w:cs="宋体" w:eastAsia="宋体" w:hint="default"/>
                      <w:sz w:val="18"/>
                      <w:szCs w:val="18"/>
                    </w:rPr>
                    <w:t>善</w:t>
                  </w:r>
                  <w:r>
                    <w:rPr>
                      <w:rFonts w:ascii="宋体" w:hAnsi="宋体" w:cs="宋体" w:eastAsia="宋体" w:hint="default"/>
                      <w:spacing w:val="-62"/>
                      <w:sz w:val="18"/>
                      <w:szCs w:val="18"/>
                    </w:rPr>
                    <w:t> </w:t>
                  </w:r>
                  <w:r>
                    <w:rPr>
                      <w:rFonts w:ascii="宋体" w:hAnsi="宋体" w:cs="宋体" w:eastAsia="宋体" w:hint="default"/>
                      <w:sz w:val="18"/>
                      <w:szCs w:val="18"/>
                    </w:rPr>
                    <w:t>方</w:t>
                  </w:r>
                  <w:r>
                    <w:rPr>
                      <w:rFonts w:ascii="宋体" w:hAnsi="宋体" w:cs="宋体" w:eastAsia="宋体" w:hint="default"/>
                      <w:sz w:val="18"/>
                      <w:szCs w:val="18"/>
                    </w:rPr>
                    <w:t> </w:t>
                  </w:r>
                  <w:r>
                    <w:rPr>
                      <w:rFonts w:ascii="宋体" w:hAnsi="宋体" w:cs="宋体" w:eastAsia="宋体" w:hint="default"/>
                      <w:spacing w:val="-11"/>
                      <w:sz w:val="18"/>
                      <w:szCs w:val="18"/>
                    </w:rPr>
                    <w:t>案、实施维护</w:t>
                  </w:r>
                </w:p>
              </w:txbxContent>
            </v:textbox>
            <v:fill type="solid"/>
          </v:shape>
        </w:pict>
      </w:r>
      <w:r>
        <w:rPr>
          <w:rFonts w:ascii="宋体"/>
          <w:position w:val="-15"/>
          <w:sz w:val="20"/>
        </w:rPr>
      </w:r>
      <w:r>
        <w:rPr>
          <w:rFonts w:ascii="宋体"/>
          <w:position w:val="-15"/>
          <w:sz w:val="20"/>
        </w:rPr>
        <w:tab/>
      </w:r>
      <w:r>
        <w:rPr>
          <w:rFonts w:ascii="宋体"/>
          <w:position w:val="-15"/>
          <w:sz w:val="20"/>
        </w:rPr>
        <w:pict>
          <v:shape style="width:72pt;height:39.75pt;mso-position-horizontal-relative:char;mso-position-vertical-relative:line" type="#_x0000_t202" filled="true" fillcolor="#9bbb59" stroked="true" strokeweight="3.0pt" strokecolor="#f2f2f2">
            <w10:anchorlock/>
            <v:textbox inset="0,0,0,0">
              <w:txbxContent>
                <w:p>
                  <w:pPr>
                    <w:spacing w:line="316" w:lineRule="auto" w:before="79"/>
                    <w:ind w:left="145" w:right="140" w:firstLine="0"/>
                    <w:jc w:val="left"/>
                    <w:rPr>
                      <w:rFonts w:ascii="宋体" w:hAnsi="宋体" w:cs="宋体" w:eastAsia="宋体" w:hint="default"/>
                      <w:sz w:val="18"/>
                      <w:szCs w:val="18"/>
                    </w:rPr>
                  </w:pPr>
                  <w:r>
                    <w:rPr>
                      <w:rFonts w:ascii="宋体" w:hAnsi="宋体" w:cs="宋体" w:eastAsia="宋体" w:hint="default"/>
                      <w:sz w:val="18"/>
                      <w:szCs w:val="18"/>
                    </w:rPr>
                    <w:t>委托方考核已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完成维护项目</w:t>
                  </w:r>
                </w:p>
              </w:txbxContent>
            </v:textbox>
            <v:fill type="solid"/>
          </v:shape>
        </w:pict>
      </w:r>
      <w:r>
        <w:rPr>
          <w:rFonts w:ascii="宋体"/>
          <w:position w:val="-15"/>
          <w:sz w:val="20"/>
        </w:rPr>
      </w:r>
      <w:r>
        <w:rPr>
          <w:rFonts w:ascii="宋体"/>
          <w:position w:val="-15"/>
          <w:sz w:val="20"/>
        </w:rPr>
        <w:tab/>
      </w:r>
      <w:r>
        <w:rPr>
          <w:rFonts w:ascii="宋体"/>
          <w:position w:val="-15"/>
          <w:sz w:val="20"/>
        </w:rPr>
        <w:pict>
          <v:shape style="width:93.75pt;height:39.75pt;mso-position-horizontal-relative:char;mso-position-vertical-relative:line" type="#_x0000_t202" filled="true" fillcolor="#9bbb59" stroked="true" strokeweight="3.0pt" strokecolor="#f2f2f2">
            <w10:anchorlock/>
            <v:textbox inset="0,0,0,0">
              <w:txbxContent>
                <w:p>
                  <w:pPr>
                    <w:spacing w:line="316" w:lineRule="auto" w:before="79"/>
                    <w:ind w:left="145" w:right="80" w:firstLine="0"/>
                    <w:jc w:val="left"/>
                    <w:rPr>
                      <w:rFonts w:ascii="宋体" w:hAnsi="宋体" w:cs="宋体" w:eastAsia="宋体" w:hint="default"/>
                      <w:sz w:val="18"/>
                      <w:szCs w:val="18"/>
                    </w:rPr>
                  </w:pPr>
                  <w:r>
                    <w:rPr>
                      <w:rFonts w:ascii="宋体" w:hAnsi="宋体" w:cs="宋体" w:eastAsia="宋体" w:hint="default"/>
                      <w:spacing w:val="-4"/>
                      <w:sz w:val="18"/>
                      <w:szCs w:val="18"/>
                    </w:rPr>
                    <w:t>委托方依考核结果、</w:t>
                  </w:r>
                  <w:r>
                    <w:rPr>
                      <w:rFonts w:ascii="宋体" w:hAnsi="宋体" w:cs="宋体" w:eastAsia="宋体" w:hint="default"/>
                      <w:sz w:val="18"/>
                      <w:szCs w:val="18"/>
                    </w:rPr>
                    <w:t> </w:t>
                  </w:r>
                  <w:r>
                    <w:rPr>
                      <w:rFonts w:ascii="宋体" w:hAnsi="宋体" w:cs="宋体" w:eastAsia="宋体" w:hint="default"/>
                      <w:spacing w:val="-4"/>
                      <w:sz w:val="18"/>
                      <w:szCs w:val="18"/>
                    </w:rPr>
                    <w:t>合同支付维护费</w:t>
                  </w:r>
                </w:p>
              </w:txbxContent>
            </v:textbox>
            <v:fill type="solid"/>
          </v:shape>
        </w:pict>
      </w:r>
      <w:r>
        <w:rPr>
          <w:rFonts w:ascii="宋体"/>
          <w:position w:val="-15"/>
          <w:sz w:val="20"/>
        </w:rPr>
      </w:r>
      <w:r>
        <w:rPr>
          <w:rFonts w:ascii="宋体"/>
          <w:position w:val="-15"/>
          <w:sz w:val="20"/>
        </w:rPr>
        <w:tab/>
      </w:r>
      <w:r>
        <w:rPr>
          <w:rFonts w:ascii="宋体"/>
          <w:position w:val="-7"/>
          <w:sz w:val="20"/>
        </w:rPr>
        <w:pict>
          <v:shape style="width:24pt;height:36pt;mso-position-horizontal-relative:char;mso-position-vertical-relative:line" type="#_x0000_t202" filled="true" fillcolor="#9bbb59" stroked="false">
            <w10:anchorlock/>
            <v:textbox inset="0,0,0,0">
              <w:txbxContent>
                <w:p>
                  <w:pPr>
                    <w:spacing w:line="316" w:lineRule="auto" w:before="61"/>
                    <w:ind w:left="122" w:right="134" w:firstLine="0"/>
                    <w:jc w:val="left"/>
                    <w:rPr>
                      <w:rFonts w:ascii="宋体" w:hAnsi="宋体" w:cs="宋体" w:eastAsia="宋体" w:hint="default"/>
                      <w:sz w:val="18"/>
                      <w:szCs w:val="18"/>
                    </w:rPr>
                  </w:pPr>
                  <w:r>
                    <w:rPr>
                      <w:rFonts w:ascii="宋体" w:hAnsi="宋体" w:cs="宋体" w:eastAsia="宋体" w:hint="default"/>
                      <w:sz w:val="18"/>
                      <w:szCs w:val="18"/>
                    </w:rPr>
                    <w:t>结 束</w:t>
                  </w:r>
                </w:p>
              </w:txbxContent>
            </v:textbox>
            <v:fill type="solid"/>
          </v:shape>
        </w:pict>
      </w:r>
      <w:r>
        <w:rPr>
          <w:rFonts w:ascii="宋体"/>
          <w:position w:val="-7"/>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73" w:lineRule="auto" w:before="0"/>
        <w:ind w:left="393" w:right="342" w:firstLine="420"/>
        <w:jc w:val="left"/>
      </w:pPr>
      <w:r>
        <w:rPr/>
        <w:t>3、报告期主要业务信息智能传输业务、通信网络维护业务实现的营收占公司营业总收入的比</w:t>
      </w:r>
      <w:r>
        <w:rPr>
          <w:w w:val="100"/>
        </w:rPr>
        <w:t> </w:t>
      </w:r>
      <w:r>
        <w:rPr/>
        <w:t>例分别为</w:t>
      </w:r>
      <w:r>
        <w:rPr>
          <w:spacing w:val="-57"/>
        </w:rPr>
        <w:t> </w:t>
      </w:r>
      <w:r>
        <w:rPr/>
        <w:t>25.53%、64.40%。</w:t>
      </w:r>
    </w:p>
    <w:p>
      <w:pPr>
        <w:pStyle w:val="BodyText"/>
        <w:spacing w:line="273" w:lineRule="auto" w:before="164"/>
        <w:ind w:left="393" w:right="342" w:firstLine="420"/>
        <w:jc w:val="left"/>
      </w:pPr>
      <w:r>
        <w:rPr/>
        <w:t>公司主营业务信息智能传输和通信网络维护都要求具备通信运营商认可的资质、技术、服务质</w:t>
      </w:r>
      <w:r>
        <w:rPr>
          <w:w w:val="100"/>
        </w:rPr>
        <w:t> </w:t>
      </w:r>
      <w:r>
        <w:rPr/>
        <w:t>量，与通信运营商合作，与通信行业相关。其中信息智能传输属于增值电信服务，以通信运营商为</w:t>
      </w:r>
      <w:r>
        <w:rPr>
          <w:w w:val="100"/>
        </w:rPr>
        <w:t> </w:t>
      </w:r>
      <w:r>
        <w:rPr/>
        <w:t>供应商，向运营商购买信息传输通道，客户是电子商务、互联网、金融等企事业单位及政府，不分</w:t>
      </w:r>
      <w:r>
        <w:rPr>
          <w:w w:val="100"/>
        </w:rPr>
        <w:t> </w:t>
      </w:r>
      <w:r>
        <w:rPr>
          <w:spacing w:val="-5"/>
        </w:rPr>
        <w:t>地区，与移动通信技术发展及电子商务、互联网等产业发展相关；通信网络维护属于通信基础设施、</w:t>
      </w:r>
      <w:r>
        <w:rPr>
          <w:spacing w:val="-12"/>
        </w:rPr>
        <w:t> </w:t>
      </w:r>
      <w:r>
        <w:rPr>
          <w:spacing w:val="-12"/>
        </w:rPr>
      </w:r>
      <w:r>
        <w:rPr/>
        <w:t>线路维护服务，以通信运营商为客户，对运营商拥有的设施、线路进行维护，有地区之分，与运营</w:t>
      </w:r>
      <w:r>
        <w:rPr>
          <w:w w:val="100"/>
        </w:rPr>
        <w:t> </w:t>
      </w:r>
      <w:r>
        <w:rPr/>
        <w:t>商的设施、线路维护存量大小和建设、维护投入多少相关。信息智能传输和通信网络维护两块业务</w:t>
      </w:r>
      <w:r>
        <w:rPr>
          <w:w w:val="100"/>
        </w:rPr>
        <w:t> </w:t>
      </w:r>
      <w:r>
        <w:rPr/>
        <w:t>的性质、客户、运用技术、经营模式等各方面均存在差异，不属于相同或者相近的业务。</w:t>
      </w:r>
    </w:p>
    <w:p>
      <w:pPr>
        <w:pStyle w:val="BodyText"/>
        <w:spacing w:line="273" w:lineRule="auto" w:before="163"/>
        <w:ind w:left="813" w:right="342" w:firstLine="2"/>
        <w:jc w:val="left"/>
      </w:pPr>
      <w:r>
        <w:rPr>
          <w:rFonts w:ascii="宋体" w:hAnsi="宋体" w:cs="宋体" w:eastAsia="宋体" w:hint="default"/>
          <w:b/>
          <w:bCs/>
        </w:rPr>
        <w:t>(二)经营模式</w:t>
      </w:r>
      <w:r>
        <w:rPr>
          <w:rFonts w:ascii="宋体" w:hAnsi="宋体" w:cs="宋体" w:eastAsia="宋体" w:hint="default"/>
          <w:b/>
          <w:bCs/>
          <w:w w:val="100"/>
        </w:rPr>
        <w:t> </w:t>
      </w:r>
      <w:r>
        <w:rPr>
          <w:spacing w:val="-2"/>
        </w:rPr>
        <w:t>公司主营业务信息智能传输和通信网络维护的经营模式报告期没有变化。经营模式简要如下：</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18"/>
        <w:gridCol w:w="8220"/>
      </w:tblGrid>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信息智能传输</w:t>
            </w: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盈利模式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主要为通过向客户提供短彩信发送服务收取费用，以及电信运营商根据短信发送量支付的业务酬金获</w:t>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z w:val="18"/>
                <w:szCs w:val="18"/>
              </w:rPr>
              <w:t>取收入，支付电信运营商按照价格标准及短信发送量收取的短信业务资费为主要成本。按照短彩信发</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送服务量收取的客户费用，构成创世漫道主要的收入来源。</w:t>
            </w: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在全国范围内寻找电信运营商适宜的全网短信通道资源，扩充通道规模；以及对已接入的短信通道资</w:t>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z w:val="18"/>
                <w:szCs w:val="18"/>
              </w:rPr>
              <w:t>源进行维护管理。采购对象为电信运营商的各地方公司以及与该等运营商具有合作关系并具备相应资</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质的第三方公司。</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销售模式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有直接与终端企业客户(指全国范围内的主要大客户)签约发送短信的直接销售模式，有与渠道代理商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(其对接大量分散的中小客户)签约销售的渠道销售模式。</w:t>
            </w: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结算模式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有预付费模式，要求客户签约后先向指定账户支付预付费用；对实力较强的直接销售客户及少数渠道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代理商，如果短信发送业务量较大，可实行后付费模式。</w:t>
            </w:r>
          </w:p>
        </w:tc>
      </w:tr>
      <w:tr>
        <w:trPr>
          <w:trHeight w:val="401" w:hRule="exact"/>
        </w:trPr>
        <w:tc>
          <w:tcPr>
            <w:tcW w:w="9638" w:type="dxa"/>
            <w:gridSpan w:val="2"/>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通信网络维护</w:t>
            </w: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盈利模式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通过公开投标中标或少数邀请投标中标，与通信运营商和铁塔公司签约提供通信网络维护服务取得收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入，维护发生的人工、材料等支出为主要成本。</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采购模式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对于大宗维护所需设备、常用材料采取集中采购模式，集中询价、确定供应商、安排购买；对维护区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域内无确定供应商的材料采取就近采购模式；对不常使用的辅助材料采取零星采购模式。</w:t>
            </w:r>
          </w:p>
        </w:tc>
      </w:tr>
    </w:tbl>
    <w:p>
      <w:pPr>
        <w:spacing w:after="0" w:line="234" w:lineRule="exact"/>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418"/>
        <w:gridCol w:w="8220"/>
      </w:tblGrid>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销售模式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收到招标邀请或者通过公开渠道获取招投标信息。根据客户要求投标、竞标，中标签署销售服务合同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后，先垫付资金组织进行网络维护的实施工作，并按期接受委托方的考核。</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结算模式</w:t>
            </w:r>
          </w:p>
        </w:tc>
        <w:tc>
          <w:tcPr>
            <w:tcW w:w="8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通信运营商按月或按季度对长实通信的通信网络维护业务进行考核、评分、共同确认结算金额后 3</w:t>
            </w:r>
            <w:r>
              <w:rPr>
                <w:rFonts w:ascii="宋体" w:hAnsi="宋体" w:cs="宋体" w:eastAsia="宋体" w:hint="default"/>
                <w:spacing w:val="-2"/>
                <w:sz w:val="18"/>
                <w:szCs w:val="18"/>
              </w:rPr>
              <w:t> </w:t>
            </w:r>
            <w:r>
              <w:rPr>
                <w:rFonts w:ascii="宋体" w:hAnsi="宋体" w:cs="宋体" w:eastAsia="宋体" w:hint="default"/>
                <w:sz w:val="18"/>
                <w:szCs w:val="18"/>
              </w:rPr>
              <w:t>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月内向长实通信支付。</w:t>
            </w:r>
          </w:p>
        </w:tc>
      </w:tr>
    </w:tbl>
    <w:p>
      <w:pPr>
        <w:spacing w:line="240" w:lineRule="auto" w:before="2"/>
        <w:rPr>
          <w:rFonts w:ascii="宋体" w:hAnsi="宋体" w:cs="宋体" w:eastAsia="宋体" w:hint="default"/>
          <w:sz w:val="20"/>
          <w:szCs w:val="20"/>
        </w:rPr>
      </w:pPr>
    </w:p>
    <w:p>
      <w:pPr>
        <w:spacing w:line="326" w:lineRule="auto" w:before="36"/>
        <w:ind w:left="813" w:right="342" w:firstLine="2"/>
        <w:jc w:val="left"/>
        <w:rPr>
          <w:rFonts w:ascii="宋体" w:hAnsi="宋体" w:cs="宋体" w:eastAsia="宋体" w:hint="default"/>
          <w:sz w:val="21"/>
          <w:szCs w:val="21"/>
        </w:rPr>
      </w:pPr>
      <w:r>
        <w:rPr>
          <w:rFonts w:ascii="宋体" w:hAnsi="宋体" w:cs="宋体" w:eastAsia="宋体" w:hint="default"/>
          <w:b/>
          <w:bCs/>
          <w:sz w:val="21"/>
          <w:szCs w:val="21"/>
        </w:rPr>
        <w:t>(三)主要的业绩驱动因素</w:t>
      </w:r>
      <w:r>
        <w:rPr>
          <w:rFonts w:ascii="宋体" w:hAnsi="宋体" w:cs="宋体" w:eastAsia="宋体" w:hint="default"/>
          <w:b/>
          <w:bCs/>
          <w:w w:val="100"/>
          <w:sz w:val="21"/>
          <w:szCs w:val="21"/>
        </w:rPr>
        <w:t> </w:t>
      </w:r>
      <w:r>
        <w:rPr>
          <w:rFonts w:ascii="宋体" w:hAnsi="宋体" w:cs="宋体" w:eastAsia="宋体" w:hint="default"/>
          <w:sz w:val="21"/>
          <w:szCs w:val="21"/>
        </w:rPr>
        <w:t>1、信息智能传输业务的客户收入和全网短信通道支出(成本)将影响该项业务的盈利能力。公</w:t>
      </w:r>
    </w:p>
    <w:p>
      <w:pPr>
        <w:pStyle w:val="BodyText"/>
        <w:spacing w:line="237" w:lineRule="exact" w:before="0"/>
        <w:ind w:left="393" w:right="0"/>
        <w:jc w:val="both"/>
      </w:pPr>
      <w:r>
        <w:rPr/>
        <w:t>司信息智能传输服务的客户是行业分布广泛、数量众多的企业公司、事业单位、政府机关，全网短</w:t>
      </w:r>
    </w:p>
    <w:p>
      <w:pPr>
        <w:pStyle w:val="BodyText"/>
        <w:spacing w:line="240" w:lineRule="auto" w:before="37"/>
        <w:ind w:left="393" w:right="0"/>
        <w:jc w:val="both"/>
      </w:pPr>
      <w:r>
        <w:rPr/>
        <w:t>信通道支出对象是电信运营商。</w:t>
      </w:r>
    </w:p>
    <w:p>
      <w:pPr>
        <w:pStyle w:val="BodyText"/>
        <w:spacing w:line="273" w:lineRule="auto" w:before="37"/>
        <w:ind w:left="393" w:right="433" w:firstLine="420"/>
        <w:jc w:val="both"/>
      </w:pPr>
      <w:r>
        <w:rPr/>
        <w:t>经过持续发展，创世漫道与 20</w:t>
      </w:r>
      <w:r>
        <w:rPr>
          <w:spacing w:val="-22"/>
        </w:rPr>
        <w:t> </w:t>
      </w:r>
      <w:r>
        <w:rPr/>
        <w:t>余个省市级运营商建立了长期、良好的合作关系，形成较强的</w:t>
      </w:r>
      <w:r>
        <w:rPr>
          <w:w w:val="100"/>
        </w:rPr>
        <w:t> </w:t>
      </w:r>
      <w:r>
        <w:rPr>
          <w:spacing w:val="-2"/>
        </w:rPr>
        <w:t>连通三网、覆盖全国的短信通道资源；经过激烈的市场竞争，创世漫道具有服务质量、技术水平、</w:t>
      </w:r>
      <w:r>
        <w:rPr>
          <w:spacing w:val="-26"/>
        </w:rPr>
        <w:t> </w:t>
      </w:r>
      <w:r>
        <w:rPr>
          <w:spacing w:val="-26"/>
        </w:rPr>
      </w:r>
      <w:r>
        <w:rPr>
          <w:spacing w:val="-2"/>
        </w:rPr>
        <w:t>协商定价等满足客户所需的黏性，积累了一大批行业分布广泛、发展前景广阔的优质企事业客户群</w:t>
      </w:r>
      <w:r>
        <w:rPr>
          <w:spacing w:val="-45"/>
        </w:rPr>
        <w:t> </w:t>
      </w:r>
      <w:r>
        <w:rPr>
          <w:spacing w:val="-45"/>
        </w:rPr>
      </w:r>
      <w:r>
        <w:rPr/>
        <w:t>体，包括电子商务、互联网、金融、物流快递、第三方支付等增长较快的行业企业(有关情况可阅</w:t>
      </w:r>
      <w:r>
        <w:rPr>
          <w:spacing w:val="-23"/>
        </w:rPr>
        <w:t> </w:t>
      </w:r>
      <w:r>
        <w:rPr>
          <w:spacing w:val="-23"/>
        </w:rPr>
      </w:r>
      <w:r>
        <w:rPr/>
        <w:t>读本报告本章“三、核心竞争力分析”的相关内容)。随着移动互联网技术的深入发展，各行业客</w:t>
      </w:r>
      <w:r>
        <w:rPr>
          <w:spacing w:val="-21"/>
        </w:rPr>
        <w:t> </w:t>
      </w:r>
      <w:r>
        <w:rPr>
          <w:spacing w:val="-21"/>
        </w:rPr>
      </w:r>
      <w:r>
        <w:rPr>
          <w:spacing w:val="-2"/>
        </w:rPr>
        <w:t>户对触发类和有真实需求的短信(如认证、提醒、确认、通知等信息)服务的需求增强，创世漫道将</w:t>
      </w:r>
      <w:r>
        <w:rPr>
          <w:spacing w:val="-42"/>
        </w:rPr>
        <w:t> </w:t>
      </w:r>
      <w:r>
        <w:rPr>
          <w:spacing w:val="-42"/>
        </w:rPr>
      </w:r>
      <w:r>
        <w:rPr/>
        <w:t>保持着扩大收入的条件和市场需求。</w:t>
      </w:r>
    </w:p>
    <w:p>
      <w:pPr>
        <w:pStyle w:val="BodyText"/>
        <w:spacing w:line="264" w:lineRule="auto"/>
        <w:ind w:left="393" w:right="342" w:firstLine="420"/>
        <w:jc w:val="left"/>
      </w:pPr>
      <w:r>
        <w:rPr>
          <w:spacing w:val="-5"/>
        </w:rPr>
        <w:t>基于短信业务的市场需求扩大，自身的技术和服务能力的提升，创世漫道的短信收入持续增加，</w:t>
      </w:r>
      <w:r>
        <w:rPr>
          <w:w w:val="100"/>
        </w:rPr>
        <w:t> </w:t>
      </w:r>
      <w:r>
        <w:rPr/>
        <w:t>2015</w:t>
      </w:r>
      <w:r>
        <w:rPr>
          <w:spacing w:val="-55"/>
        </w:rPr>
        <w:t> </w:t>
      </w:r>
      <w:r>
        <w:rPr/>
        <w:t>年—2017</w:t>
      </w:r>
      <w:r>
        <w:rPr>
          <w:spacing w:val="-55"/>
        </w:rPr>
        <w:t> </w:t>
      </w:r>
      <w:r>
        <w:rPr/>
        <w:t>年短信收入分别为</w:t>
      </w:r>
      <w:r>
        <w:rPr>
          <w:spacing w:val="-53"/>
        </w:rPr>
        <w:t> </w:t>
      </w:r>
      <w:r>
        <w:rPr/>
        <w:t>43,500.44</w:t>
      </w:r>
      <w:r>
        <w:rPr>
          <w:spacing w:val="-53"/>
        </w:rPr>
        <w:t> </w:t>
      </w:r>
      <w:r>
        <w:rPr/>
        <w:t>万元、48,641.38</w:t>
      </w:r>
      <w:r>
        <w:rPr>
          <w:spacing w:val="-55"/>
        </w:rPr>
        <w:t> </w:t>
      </w:r>
      <w:r>
        <w:rPr/>
        <w:t>万元、49,788.87</w:t>
      </w:r>
      <w:r>
        <w:rPr>
          <w:spacing w:val="-53"/>
        </w:rPr>
        <w:t> </w:t>
      </w:r>
      <w:r>
        <w:rPr>
          <w:spacing w:val="-3"/>
        </w:rPr>
        <w:t>万元。全网短信通</w:t>
      </w:r>
      <w:r>
        <w:rPr>
          <w:w w:val="100"/>
        </w:rPr>
        <w:t> </w:t>
      </w:r>
      <w:r>
        <w:rPr/>
        <w:t>道支出是电信运营商按照标价及短信发送量收取的资费，构成创世漫道的主要营业成本。基于运营</w:t>
      </w:r>
      <w:r>
        <w:rPr>
          <w:w w:val="100"/>
        </w:rPr>
        <w:t> </w:t>
      </w:r>
      <w:r>
        <w:rPr>
          <w:spacing w:val="-3"/>
        </w:rPr>
        <w:t>商跨省结算导致单一通道成本上升、创世漫道提前布局多省市接入降低跨省结算成本</w:t>
      </w:r>
      <w:r>
        <w:rPr>
          <w:spacing w:val="-3"/>
          <w:sz w:val="24"/>
          <w:szCs w:val="24"/>
        </w:rPr>
        <w:t>，</w:t>
      </w:r>
      <w:r>
        <w:rPr>
          <w:spacing w:val="-3"/>
        </w:rPr>
        <w:t>信息传输业</w:t>
      </w:r>
      <w:r>
        <w:rPr>
          <w:spacing w:val="-31"/>
        </w:rPr>
        <w:t> </w:t>
      </w:r>
      <w:r>
        <w:rPr>
          <w:spacing w:val="-31"/>
        </w:rPr>
      </w:r>
      <w:r>
        <w:rPr>
          <w:spacing w:val="-7"/>
        </w:rPr>
        <w:t>务拥有的短信通道资源比较充足、可定期筛选性价比高的通道，创世漫道能够较好地控制成本，2015</w:t>
      </w:r>
      <w:r>
        <w:rPr>
          <w:spacing w:val="-17"/>
        </w:rPr>
        <w:t> </w:t>
      </w:r>
      <w:r>
        <w:rPr>
          <w:spacing w:val="-17"/>
        </w:rPr>
      </w:r>
      <w:r>
        <w:rPr/>
        <w:t>年—2017</w:t>
      </w:r>
      <w:r>
        <w:rPr>
          <w:spacing w:val="-59"/>
        </w:rPr>
        <w:t> </w:t>
      </w:r>
      <w:r>
        <w:rPr/>
        <w:t>年创世漫道短信业务的毛利率分别为</w:t>
      </w:r>
      <w:r>
        <w:rPr>
          <w:spacing w:val="-57"/>
        </w:rPr>
        <w:t> </w:t>
      </w:r>
      <w:r>
        <w:rPr/>
        <w:t>23.14%、31.08%、31.12%。</w:t>
      </w:r>
    </w:p>
    <w:p>
      <w:pPr>
        <w:pStyle w:val="BodyText"/>
        <w:spacing w:line="273" w:lineRule="auto" w:before="78"/>
        <w:ind w:left="813" w:right="342"/>
        <w:jc w:val="left"/>
      </w:pPr>
      <w:r>
        <w:rPr/>
        <w:t>2、通信网络维护业务的订单金额及各维护项目的毛利率将影响该项业务的盈利能力。</w:t>
      </w:r>
      <w:r>
        <w:rPr>
          <w:w w:val="100"/>
        </w:rPr>
        <w:t> </w:t>
      </w:r>
      <w:r>
        <w:rPr>
          <w:spacing w:val="-2"/>
        </w:rPr>
        <w:t>公司通信网络维护业务收入的主要客户是通信运营商和铁塔公司，客户采购逐渐集中化，有利</w:t>
      </w:r>
    </w:p>
    <w:p>
      <w:pPr>
        <w:pStyle w:val="BodyText"/>
        <w:spacing w:line="273" w:lineRule="auto"/>
        <w:ind w:left="393" w:right="450"/>
        <w:jc w:val="both"/>
      </w:pPr>
      <w:r>
        <w:rPr>
          <w:spacing w:val="-2"/>
        </w:rPr>
        <w:t>于市场地位靠前的企业通过公开投标中标获得订单。随着通信技术的发展，为满足个人及企业等社</w:t>
      </w:r>
      <w:r>
        <w:rPr>
          <w:spacing w:val="-43"/>
        </w:rPr>
        <w:t> </w:t>
      </w:r>
      <w:r>
        <w:rPr>
          <w:spacing w:val="-43"/>
        </w:rPr>
      </w:r>
      <w:r>
        <w:rPr>
          <w:spacing w:val="-2"/>
        </w:rPr>
        <w:t>会主体日益增长的互联互通需求，我国通信业基础设施升级及运营维护投入将决定着通信网络维护</w:t>
      </w:r>
      <w:r>
        <w:rPr>
          <w:spacing w:val="-43"/>
        </w:rPr>
        <w:t> </w:t>
      </w:r>
      <w:r>
        <w:rPr>
          <w:spacing w:val="-43"/>
        </w:rPr>
      </w:r>
      <w:r>
        <w:rPr>
          <w:spacing w:val="-2"/>
        </w:rPr>
        <w:t>业务的市场规模不断扩大(有关情况可阅读本报告第四章“第一节概述”的相关内容)。长实通信经</w:t>
      </w:r>
      <w:r>
        <w:rPr>
          <w:spacing w:val="-44"/>
        </w:rPr>
        <w:t> </w:t>
      </w:r>
      <w:r>
        <w:rPr>
          <w:spacing w:val="-44"/>
        </w:rPr>
      </w:r>
      <w:r>
        <w:rPr>
          <w:spacing w:val="-2"/>
        </w:rPr>
        <w:t>过竞争发展，已成为市场信誉好、服务考评优良、资质齐备并具有跨区域及综合维护能力的通信网</w:t>
      </w:r>
      <w:r>
        <w:rPr>
          <w:spacing w:val="-46"/>
        </w:rPr>
        <w:t> </w:t>
      </w:r>
      <w:r>
        <w:rPr>
          <w:spacing w:val="-46"/>
        </w:rPr>
      </w:r>
      <w:r>
        <w:rPr>
          <w:spacing w:val="-2"/>
        </w:rPr>
        <w:t>络维护商，将有更多中标获得业务订单的机会。2015—2017</w:t>
      </w:r>
      <w:r>
        <w:rPr>
          <w:spacing w:val="23"/>
        </w:rPr>
        <w:t> </w:t>
      </w:r>
      <w:r>
        <w:rPr>
          <w:spacing w:val="-2"/>
        </w:rPr>
        <w:t>年长实通信收入保持增长。</w:t>
      </w:r>
    </w:p>
    <w:p>
      <w:pPr>
        <w:pStyle w:val="BodyText"/>
        <w:spacing w:line="273" w:lineRule="auto"/>
        <w:ind w:left="393" w:right="433" w:firstLine="420"/>
        <w:jc w:val="both"/>
      </w:pPr>
      <w:r>
        <w:rPr>
          <w:spacing w:val="-2"/>
        </w:rPr>
        <w:t>通信运营商和铁塔公司对通信网络维护业务的议价能力和定价权，以及劳务用工、原材料等成</w:t>
      </w:r>
      <w:r>
        <w:rPr>
          <w:w w:val="100"/>
        </w:rPr>
        <w:t> </w:t>
      </w:r>
      <w:r>
        <w:rPr>
          <w:spacing w:val="-2"/>
        </w:rPr>
        <w:t>本的价格变动将影响业务的毛利率水平。基于拥有的丰富的通信网络维护经验、先进的维护技术、</w:t>
      </w:r>
      <w:r>
        <w:rPr>
          <w:spacing w:val="-25"/>
        </w:rPr>
        <w:t> </w:t>
      </w:r>
      <w:r>
        <w:rPr>
          <w:spacing w:val="-25"/>
        </w:rPr>
      </w:r>
      <w:r>
        <w:rPr>
          <w:spacing w:val="-2"/>
        </w:rPr>
        <w:t>专业的服务团队、精细化的管理水平和跨区域、综合化的服务能力，长实通信将与客户商定维护项</w:t>
      </w:r>
      <w:r>
        <w:rPr>
          <w:spacing w:val="-49"/>
        </w:rPr>
        <w:t> </w:t>
      </w:r>
      <w:r>
        <w:rPr>
          <w:spacing w:val="-49"/>
        </w:rPr>
      </w:r>
      <w:r>
        <w:rPr>
          <w:spacing w:val="-4"/>
        </w:rPr>
        <w:t>目价格保持在行业水准，管理好劳务用工、原材料等成本的价格，保持项目毛利率的平稳。2015</w:t>
      </w:r>
      <w:r>
        <w:rPr>
          <w:spacing w:val="40"/>
        </w:rPr>
        <w:t> </w:t>
      </w:r>
      <w:r>
        <w:rPr/>
        <w:t>年</w:t>
      </w:r>
    </w:p>
    <w:p>
      <w:pPr>
        <w:pStyle w:val="BodyText"/>
        <w:spacing w:line="408" w:lineRule="auto"/>
        <w:ind w:left="813" w:right="1174" w:hanging="421"/>
        <w:jc w:val="left"/>
      </w:pPr>
      <w:r>
        <w:rPr/>
        <w:t>—2017</w:t>
      </w:r>
      <w:r>
        <w:rPr>
          <w:spacing w:val="-55"/>
        </w:rPr>
        <w:t> </w:t>
      </w:r>
      <w:r>
        <w:rPr/>
        <w:t>年公司通信网络维护业务毛利率分别为</w:t>
      </w:r>
      <w:r>
        <w:rPr>
          <w:spacing w:val="-55"/>
        </w:rPr>
        <w:t> </w:t>
      </w:r>
      <w:r>
        <w:rPr/>
        <w:t>19.97%、20.05%、18.54%，</w:t>
      </w:r>
      <w:r>
        <w:rPr>
          <w:w w:val="100"/>
        </w:rPr>
        <w:t> </w:t>
      </w:r>
      <w:r>
        <w:rPr>
          <w:spacing w:val="-2"/>
        </w:rPr>
        <w:t>报告期公司主要业务的业绩驱动因素没有重大变化，尚不存在重大风险。</w:t>
      </w:r>
    </w:p>
    <w:p>
      <w:pPr>
        <w:spacing w:before="46"/>
        <w:ind w:left="815" w:right="117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4"/>
          <w:sz w:val="21"/>
          <w:szCs w:val="21"/>
        </w:rPr>
        <w:t> </w:t>
      </w:r>
      <w:r>
        <w:rPr>
          <w:rFonts w:ascii="宋体" w:hAnsi="宋体" w:cs="宋体" w:eastAsia="宋体" w:hint="default"/>
          <w:b/>
          <w:bCs/>
          <w:sz w:val="21"/>
          <w:szCs w:val="21"/>
        </w:rPr>
        <w:t>报告期内公司所属行业的发展阶段、周期性特点以及公司所处的行业地位等</w:t>
      </w:r>
      <w:r>
        <w:rPr>
          <w:rFonts w:ascii="宋体" w:hAnsi="宋体" w:cs="宋体" w:eastAsia="宋体" w:hint="default"/>
          <w:sz w:val="21"/>
          <w:szCs w:val="21"/>
        </w:rPr>
      </w:r>
    </w:p>
    <w:p>
      <w:pPr>
        <w:pStyle w:val="BodyText"/>
        <w:spacing w:line="271" w:lineRule="auto" w:before="99"/>
        <w:ind w:left="813" w:right="342"/>
        <w:jc w:val="left"/>
      </w:pPr>
      <w:r>
        <w:rPr/>
        <w:t>1、信息智能传输</w:t>
      </w:r>
      <w:r>
        <w:rPr>
          <w:w w:val="100"/>
        </w:rPr>
        <w:t> </w:t>
      </w:r>
      <w:r>
        <w:rPr>
          <w:spacing w:val="-2"/>
        </w:rPr>
        <w:t>创世漫道短信发送收入在行业中名列前茅。行业属于向企业公司、事业单位等客户提供有真实</w:t>
      </w:r>
    </w:p>
    <w:p>
      <w:pPr>
        <w:pStyle w:val="BodyText"/>
        <w:spacing w:line="273" w:lineRule="auto" w:before="10"/>
        <w:ind w:left="393" w:right="450"/>
        <w:jc w:val="both"/>
      </w:pPr>
      <w:r>
        <w:rPr>
          <w:spacing w:val="-2"/>
        </w:rPr>
        <w:t>应用需求的移动信息发送服务以及与之相关的系统开发与运营维护的信息服务业，由全资子公司创</w:t>
      </w:r>
      <w:r>
        <w:rPr>
          <w:spacing w:val="-42"/>
        </w:rPr>
        <w:t> </w:t>
      </w:r>
      <w:r>
        <w:rPr>
          <w:spacing w:val="-42"/>
        </w:rPr>
      </w:r>
      <w:r>
        <w:rPr>
          <w:spacing w:val="-2"/>
          <w:w w:val="100"/>
        </w:rPr>
        <w:t>世漫道经营。据国家商务部、中央网信办、国家发改委印发的《电子商务“十三五”发展规划》，</w:t>
      </w:r>
      <w:r>
        <w:rPr>
          <w:spacing w:val="-95"/>
          <w:w w:val="100"/>
        </w:rPr>
        <w:t> </w:t>
      </w:r>
      <w:r>
        <w:rPr>
          <w:spacing w:val="-95"/>
          <w:w w:val="100"/>
        </w:rPr>
      </w:r>
      <w:r>
        <w:rPr/>
        <w:t>预计</w:t>
      </w:r>
      <w:r>
        <w:rPr>
          <w:spacing w:val="-59"/>
        </w:rPr>
        <w:t> </w:t>
      </w:r>
      <w:r>
        <w:rPr/>
        <w:t>2020</w:t>
      </w:r>
      <w:r>
        <w:rPr>
          <w:spacing w:val="-61"/>
        </w:rPr>
        <w:t> </w:t>
      </w:r>
      <w:r>
        <w:rPr/>
        <w:t>年，电子商务交易额同比“十二五”末翻一番，超过</w:t>
      </w:r>
      <w:r>
        <w:rPr>
          <w:spacing w:val="-59"/>
        </w:rPr>
        <w:t> </w:t>
      </w:r>
      <w:r>
        <w:rPr/>
        <w:t>40</w:t>
      </w:r>
      <w:r>
        <w:rPr>
          <w:spacing w:val="-61"/>
        </w:rPr>
        <w:t> </w:t>
      </w:r>
      <w:r>
        <w:rPr/>
        <w:t>万亿元。由于电子商务、第三方</w:t>
      </w:r>
      <w:r>
        <w:rPr>
          <w:w w:val="100"/>
        </w:rPr>
        <w:t> </w:t>
      </w:r>
      <w:r>
        <w:rPr>
          <w:spacing w:val="-2"/>
        </w:rPr>
        <w:t>支付、物流快递等新兴朝阳产业的快速成长，以及移动互联网技术的深入发展，企业对移动信息服</w:t>
      </w:r>
      <w:r>
        <w:rPr>
          <w:spacing w:val="-47"/>
        </w:rPr>
        <w:t> </w:t>
      </w:r>
      <w:r>
        <w:rPr>
          <w:spacing w:val="-47"/>
        </w:rPr>
      </w:r>
      <w:r>
        <w:rPr>
          <w:spacing w:val="-2"/>
        </w:rPr>
        <w:t>务的需求范围越来越广。以电子商务企业为例，为了改善用户体验、确保服务质量，围绕中间各个</w:t>
      </w:r>
      <w:r>
        <w:rPr>
          <w:spacing w:val="-45"/>
        </w:rPr>
        <w:t> </w:t>
      </w:r>
      <w:r>
        <w:rPr>
          <w:spacing w:val="-45"/>
        </w:rPr>
      </w:r>
      <w:r>
        <w:rPr>
          <w:spacing w:val="-2"/>
        </w:rPr>
        <w:t>环节，作为综合信息服务平台运营商的创世漫道，能够为企业客户实现贯穿全过程的多种功能，包</w:t>
      </w:r>
    </w:p>
    <w:p>
      <w:pPr>
        <w:spacing w:after="0" w:line="273" w:lineRule="auto"/>
        <w:jc w:val="both"/>
        <w:sectPr>
          <w:pgSz w:w="11910" w:h="16840"/>
          <w:pgMar w:header="884" w:footer="1000" w:top="1140" w:bottom="1200" w:left="1080" w:right="960"/>
        </w:sectPr>
      </w:pPr>
    </w:p>
    <w:p>
      <w:pPr>
        <w:pStyle w:val="BodyText"/>
        <w:spacing w:line="273" w:lineRule="auto" w:before="131"/>
        <w:ind w:left="393" w:right="450"/>
        <w:jc w:val="both"/>
      </w:pPr>
      <w:r>
        <w:rPr>
          <w:spacing w:val="-2"/>
        </w:rPr>
        <w:t>括覆盖用户身份注册验证、第三方支付安全保障、购物订单短信通知、物流配送短信提示、用户服</w:t>
      </w:r>
      <w:r>
        <w:rPr>
          <w:spacing w:val="-45"/>
        </w:rPr>
        <w:t> </w:t>
      </w:r>
      <w:r>
        <w:rPr>
          <w:spacing w:val="-45"/>
        </w:rPr>
      </w:r>
      <w:r>
        <w:rPr>
          <w:spacing w:val="-2"/>
        </w:rPr>
        <w:t>务回访、市场信息告知等整个流程。随着社会进步，人民生活水平不断提高和通信技术、互联网的</w:t>
      </w:r>
      <w:r>
        <w:rPr>
          <w:spacing w:val="-45"/>
        </w:rPr>
        <w:t> </w:t>
      </w:r>
      <w:r>
        <w:rPr>
          <w:spacing w:val="-45"/>
        </w:rPr>
      </w:r>
      <w:r>
        <w:rPr>
          <w:spacing w:val="-2"/>
        </w:rPr>
        <w:t>融合发展，大众对多样化消费、服务信息的安全、及时掌握的需求会更多更广，未来触发类和有真</w:t>
      </w:r>
      <w:r>
        <w:rPr>
          <w:spacing w:val="-46"/>
        </w:rPr>
        <w:t> </w:t>
      </w:r>
      <w:r>
        <w:rPr>
          <w:spacing w:val="-46"/>
        </w:rPr>
      </w:r>
      <w:r>
        <w:rPr>
          <w:spacing w:val="-2"/>
        </w:rPr>
        <w:t>实需求的短信将面临更加广阔的发展空间，预计触发类和有真实需求的短信业务量将继续保持较高</w:t>
      </w:r>
      <w:r>
        <w:rPr>
          <w:spacing w:val="-42"/>
        </w:rPr>
        <w:t> </w:t>
      </w:r>
      <w:r>
        <w:rPr>
          <w:spacing w:val="-42"/>
        </w:rPr>
      </w:r>
      <w:r>
        <w:rPr/>
        <w:t>的增长态势。</w:t>
      </w:r>
    </w:p>
    <w:p>
      <w:pPr>
        <w:pStyle w:val="BodyText"/>
        <w:spacing w:line="273" w:lineRule="auto" w:before="8"/>
        <w:ind w:left="393" w:right="450" w:firstLine="420"/>
        <w:jc w:val="both"/>
      </w:pPr>
      <w:r>
        <w:rPr/>
        <w:t>受国庆节、圣诞节以及“双</w:t>
      </w:r>
      <w:r>
        <w:rPr>
          <w:spacing w:val="-22"/>
        </w:rPr>
        <w:t> </w:t>
      </w:r>
      <w:r>
        <w:rPr/>
        <w:t>11.11”电商促销的影响，四季度是一年中信息智能传输业务的相</w:t>
      </w:r>
      <w:r>
        <w:rPr>
          <w:w w:val="100"/>
        </w:rPr>
        <w:t> </w:t>
      </w:r>
      <w:r>
        <w:rPr>
          <w:spacing w:val="-5"/>
        </w:rPr>
        <w:t>对高峰期。2016、2017 </w:t>
      </w:r>
      <w:r>
        <w:rPr>
          <w:spacing w:val="-3"/>
        </w:rPr>
        <w:t>两个年度内的第四季度，创世漫道的营收占公司相应年度总营收的比例分别</w:t>
      </w:r>
      <w:r>
        <w:rPr>
          <w:spacing w:val="-62"/>
        </w:rPr>
        <w:t> </w:t>
      </w:r>
      <w:r>
        <w:rPr>
          <w:spacing w:val="-62"/>
        </w:rPr>
      </w:r>
      <w:r>
        <w:rPr/>
        <w:t>为</w:t>
      </w:r>
      <w:r>
        <w:rPr>
          <w:spacing w:val="70"/>
        </w:rPr>
        <w:t> </w:t>
      </w:r>
      <w:r>
        <w:rPr/>
        <w:t>9.68%、6.88%，净利润占公司相应年度归属于上市公司股东净利润(简称净利润)的比例分别为</w:t>
      </w:r>
      <w:r>
        <w:rPr>
          <w:spacing w:val="-93"/>
        </w:rPr>
        <w:t> </w:t>
      </w:r>
      <w:r>
        <w:rPr>
          <w:spacing w:val="-93"/>
        </w:rPr>
      </w:r>
      <w:r>
        <w:rPr>
          <w:spacing w:val="-6"/>
          <w:w w:val="100"/>
        </w:rPr>
        <w:t>10.67%、7.17%，因国庆、圣诞、“双</w:t>
      </w:r>
      <w:r>
        <w:rPr>
          <w:w w:val="100"/>
        </w:rPr>
        <w:t> </w:t>
      </w:r>
      <w:r>
        <w:rPr>
          <w:spacing w:val="-2"/>
          <w:w w:val="100"/>
        </w:rPr>
        <w:t>11.11”等法定假日或电商促销不会自然取消，经营季节性波</w:t>
      </w:r>
      <w:r>
        <w:rPr>
          <w:spacing w:val="-96"/>
          <w:w w:val="100"/>
        </w:rPr>
        <w:t> </w:t>
      </w:r>
      <w:r>
        <w:rPr>
          <w:spacing w:val="-96"/>
          <w:w w:val="100"/>
        </w:rPr>
      </w:r>
      <w:r>
        <w:rPr/>
        <w:t>动不构成风险。</w:t>
      </w:r>
    </w:p>
    <w:p>
      <w:pPr>
        <w:pStyle w:val="BodyText"/>
        <w:spacing w:line="273" w:lineRule="auto"/>
        <w:ind w:left="393" w:right="433" w:firstLine="420"/>
        <w:jc w:val="both"/>
      </w:pPr>
      <w:r>
        <w:rPr>
          <w:spacing w:val="-2"/>
        </w:rPr>
        <w:t>创世漫道专注于行业应用需求的移动短信发送领域，主要向电子商务、互联网企业、金融业等</w:t>
      </w:r>
      <w:r>
        <w:rPr>
          <w:w w:val="100"/>
        </w:rPr>
        <w:t> </w:t>
      </w:r>
      <w:r>
        <w:rPr>
          <w:spacing w:val="-2"/>
        </w:rPr>
        <w:t>企业客户及事业单位、政府机构提供的指定手机用户发送触发类移动信息服务，吸引了京东商城、</w:t>
      </w:r>
      <w:r>
        <w:rPr>
          <w:spacing w:val="-25"/>
        </w:rPr>
        <w:t> </w:t>
      </w:r>
      <w:r>
        <w:rPr>
          <w:spacing w:val="-25"/>
        </w:rPr>
      </w:r>
      <w:r>
        <w:rPr/>
        <w:t>腾讯、阿里巴巴等众多知名企业客户，确立了领先的行业地位。据同行业企业披露的 2016</w:t>
      </w:r>
      <w:r>
        <w:rPr>
          <w:spacing w:val="-23"/>
        </w:rPr>
        <w:t> </w:t>
      </w:r>
      <w:r>
        <w:rPr/>
        <w:t>年度报</w:t>
      </w:r>
      <w:r>
        <w:rPr>
          <w:w w:val="100"/>
        </w:rPr>
        <w:t> </w:t>
      </w:r>
      <w:r>
        <w:rPr/>
        <w:t>告，按照短信业务营业收入排序在行业中名列前茅。</w:t>
      </w:r>
    </w:p>
    <w:p>
      <w:pPr>
        <w:pStyle w:val="BodyText"/>
        <w:spacing w:line="273" w:lineRule="auto" w:before="70"/>
        <w:ind w:left="813" w:right="342"/>
        <w:jc w:val="left"/>
      </w:pPr>
      <w:r>
        <w:rPr/>
        <w:t>2、通信网络维护</w:t>
      </w:r>
      <w:r>
        <w:rPr>
          <w:w w:val="100"/>
        </w:rPr>
        <w:t> </w:t>
      </w:r>
      <w:r>
        <w:rPr>
          <w:spacing w:val="-2"/>
        </w:rPr>
        <w:t>行业属于通信技术服务业，由全资子公司长实通信经营。随着通信技术的发展，个人及企业等</w:t>
      </w:r>
    </w:p>
    <w:p>
      <w:pPr>
        <w:pStyle w:val="BodyText"/>
        <w:spacing w:line="273" w:lineRule="auto"/>
        <w:ind w:left="393" w:right="450"/>
        <w:jc w:val="both"/>
      </w:pPr>
      <w:r>
        <w:rPr>
          <w:spacing w:val="-2"/>
        </w:rPr>
        <w:t>社会主体对信息传递和接收的需求呈爆发式增长，通信用户数量持续增长，通信内容不断丰富，激</w:t>
      </w:r>
      <w:r>
        <w:rPr>
          <w:spacing w:val="-46"/>
        </w:rPr>
        <w:t> </w:t>
      </w:r>
      <w:r>
        <w:rPr>
          <w:spacing w:val="-46"/>
        </w:rPr>
      </w:r>
      <w:r>
        <w:rPr>
          <w:spacing w:val="-2"/>
        </w:rPr>
        <w:t>发了运营商对通信技术基础投资及服务的长期需求，而通信网络维护作为运营商保持通信网络运营</w:t>
      </w:r>
      <w:r>
        <w:rPr>
          <w:spacing w:val="-43"/>
        </w:rPr>
        <w:t> </w:t>
      </w:r>
      <w:r>
        <w:rPr>
          <w:spacing w:val="-43"/>
        </w:rPr>
      </w:r>
      <w:r>
        <w:rPr>
          <w:spacing w:val="-2"/>
        </w:rPr>
        <w:t>平稳，提高网络使用率，满足终端客户网络应用需求的直接、高效、低成本的手段，将长期存在和</w:t>
      </w:r>
      <w:r>
        <w:rPr>
          <w:spacing w:val="-44"/>
        </w:rPr>
        <w:t> </w:t>
      </w:r>
      <w:r>
        <w:rPr>
          <w:spacing w:val="-44"/>
        </w:rPr>
      </w:r>
      <w:r>
        <w:rPr/>
        <w:t>快速发展。</w:t>
      </w:r>
    </w:p>
    <w:p>
      <w:pPr>
        <w:pStyle w:val="BodyText"/>
        <w:spacing w:line="273" w:lineRule="auto"/>
        <w:ind w:left="393" w:right="436" w:firstLine="420"/>
        <w:jc w:val="right"/>
      </w:pPr>
      <w:r>
        <w:rPr>
          <w:spacing w:val="-2"/>
        </w:rPr>
        <w:t>通信网络维护需求随着通信网络规模的扩大而持续增长，不存在明显的周期性和季节性特征。</w:t>
      </w:r>
      <w:r>
        <w:rPr>
          <w:w w:val="100"/>
        </w:rPr>
        <w:t> </w:t>
      </w:r>
      <w:r>
        <w:rPr>
          <w:spacing w:val="-2"/>
        </w:rPr>
        <w:t>长实通信作为具有跨区域、综合运维能力的第三方通信网络技术服务商，专注于通信网络维护</w:t>
      </w:r>
      <w:r>
        <w:rPr>
          <w:w w:val="100"/>
        </w:rPr>
        <w:t> </w:t>
      </w:r>
      <w:r>
        <w:rPr>
          <w:spacing w:val="-2"/>
        </w:rPr>
        <w:t>业务，经过十余年的经营与市场拓展，客户包括电信运营商、铁塔公司及企事业单位大客户，业务</w:t>
      </w:r>
      <w:r>
        <w:rPr>
          <w:spacing w:val="-83"/>
        </w:rPr>
        <w:t> </w:t>
      </w:r>
      <w:r>
        <w:rPr>
          <w:spacing w:val="-83"/>
        </w:rPr>
      </w:r>
      <w:r>
        <w:rPr/>
        <w:t>范围覆盖广东、云南、浙江等</w:t>
      </w:r>
      <w:r>
        <w:rPr>
          <w:spacing w:val="-32"/>
        </w:rPr>
        <w:t> </w:t>
      </w:r>
      <w:r>
        <w:rPr/>
        <w:t>25</w:t>
      </w:r>
      <w:r>
        <w:rPr>
          <w:spacing w:val="-34"/>
        </w:rPr>
        <w:t> </w:t>
      </w:r>
      <w:r>
        <w:rPr/>
        <w:t>个省区，较上年增加</w:t>
      </w:r>
      <w:r>
        <w:rPr>
          <w:spacing w:val="-32"/>
        </w:rPr>
        <w:t> </w:t>
      </w:r>
      <w:r>
        <w:rPr/>
        <w:t>6</w:t>
      </w:r>
      <w:r>
        <w:rPr>
          <w:spacing w:val="-32"/>
        </w:rPr>
        <w:t> </w:t>
      </w:r>
      <w:r>
        <w:rPr/>
        <w:t>个省区。长实通信高度重视服务质量，客</w:t>
      </w:r>
      <w:r>
        <w:rPr>
          <w:w w:val="100"/>
        </w:rPr>
        <w:t> </w:t>
      </w:r>
      <w:r>
        <w:rPr>
          <w:spacing w:val="-2"/>
        </w:rPr>
        <w:t>户评价优良，作为综合性通信网络技术服务商，长实通信业务资质齐备，是国内具有通信网络代维</w:t>
      </w:r>
      <w:r>
        <w:rPr>
          <w:spacing w:val="-89"/>
        </w:rPr>
        <w:t> </w:t>
      </w:r>
      <w:r>
        <w:rPr>
          <w:spacing w:val="-89"/>
        </w:rPr>
      </w:r>
      <w:r>
        <w:rPr/>
        <w:t>基站和线路双甲级资质及综合代维甲级资质的企业，行业地位领先。据同行业企业披露的 2016</w:t>
      </w:r>
      <w:r>
        <w:rPr>
          <w:spacing w:val="-22"/>
        </w:rPr>
        <w:t> </w:t>
      </w:r>
      <w:r>
        <w:rPr/>
        <w:t>年</w:t>
      </w:r>
    </w:p>
    <w:p>
      <w:pPr>
        <w:spacing w:line="544" w:lineRule="auto" w:before="7"/>
        <w:ind w:left="815" w:right="2641" w:hanging="423"/>
        <w:jc w:val="left"/>
        <w:rPr>
          <w:rFonts w:ascii="宋体" w:hAnsi="宋体" w:cs="宋体" w:eastAsia="宋体" w:hint="default"/>
          <w:sz w:val="21"/>
          <w:szCs w:val="21"/>
        </w:rPr>
      </w:pPr>
      <w:r>
        <w:rPr/>
        <w:pict>
          <v:shape style="position:absolute;margin-left:59.279999pt;margin-top:49.331989pt;width:482.65pt;height:244.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7937"/>
                  </w:tblGrid>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以公允价值计量且</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5"/>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益的金融资产</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宋体" w:hAnsi="宋体" w:cs="宋体" w:eastAsia="宋体" w:hint="default"/>
                            <w:sz w:val="18"/>
                            <w:szCs w:val="18"/>
                          </w:rPr>
                          <w:t>3,010.42</w:t>
                        </w:r>
                        <w:r>
                          <w:rPr>
                            <w:rFonts w:ascii="宋体" w:hAnsi="宋体" w:cs="宋体" w:eastAsia="宋体" w:hint="default"/>
                            <w:spacing w:val="-46"/>
                            <w:sz w:val="18"/>
                            <w:szCs w:val="18"/>
                          </w:rPr>
                          <w:t> </w:t>
                        </w:r>
                        <w:r>
                          <w:rPr>
                            <w:rFonts w:ascii="宋体" w:hAnsi="宋体" w:cs="宋体" w:eastAsia="宋体" w:hint="default"/>
                            <w:sz w:val="18"/>
                            <w:szCs w:val="18"/>
                          </w:rPr>
                          <w:t>万元，增幅大于</w:t>
                        </w:r>
                        <w:r>
                          <w:rPr>
                            <w:rFonts w:ascii="宋体" w:hAnsi="宋体" w:cs="宋体" w:eastAsia="宋体" w:hint="default"/>
                            <w:spacing w:val="-47"/>
                            <w:sz w:val="18"/>
                            <w:szCs w:val="18"/>
                          </w:rPr>
                          <w:t> </w:t>
                        </w:r>
                        <w:r>
                          <w:rPr>
                            <w:rFonts w:ascii="宋体" w:hAnsi="宋体" w:cs="宋体" w:eastAsia="宋体" w:hint="default"/>
                            <w:sz w:val="18"/>
                            <w:szCs w:val="18"/>
                          </w:rPr>
                          <w:t>100%,是全资子公司创世漫道本年度购买的开放式基金形成。</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5"/>
                            <w:sz w:val="18"/>
                            <w:szCs w:val="18"/>
                          </w:rPr>
                          <w:t> </w:t>
                        </w:r>
                        <w:r>
                          <w:rPr>
                            <w:rFonts w:ascii="宋体" w:hAnsi="宋体" w:cs="宋体" w:eastAsia="宋体" w:hint="default"/>
                            <w:sz w:val="18"/>
                            <w:szCs w:val="18"/>
                          </w:rPr>
                          <w:t>982</w:t>
                        </w:r>
                        <w:r>
                          <w:rPr>
                            <w:rFonts w:ascii="宋体" w:hAnsi="宋体" w:cs="宋体" w:eastAsia="宋体" w:hint="default"/>
                            <w:spacing w:val="-45"/>
                            <w:sz w:val="18"/>
                            <w:szCs w:val="18"/>
                          </w:rPr>
                          <w:t> </w:t>
                        </w:r>
                        <w:r>
                          <w:rPr>
                            <w:rFonts w:ascii="宋体" w:hAnsi="宋体" w:cs="宋体" w:eastAsia="宋体" w:hint="default"/>
                            <w:sz w:val="18"/>
                            <w:szCs w:val="18"/>
                          </w:rPr>
                          <w:t>万元，增幅大于</w:t>
                        </w:r>
                        <w:r>
                          <w:rPr>
                            <w:rFonts w:ascii="宋体" w:hAnsi="宋体" w:cs="宋体" w:eastAsia="宋体" w:hint="default"/>
                            <w:spacing w:val="-47"/>
                            <w:sz w:val="18"/>
                            <w:szCs w:val="18"/>
                          </w:rPr>
                          <w:t> </w:t>
                        </w:r>
                        <w:r>
                          <w:rPr>
                            <w:rFonts w:ascii="宋体" w:hAnsi="宋体" w:cs="宋体" w:eastAsia="宋体" w:hint="default"/>
                            <w:sz w:val="18"/>
                            <w:szCs w:val="18"/>
                          </w:rPr>
                          <w:t>100%,主要是新增未到期银行承兑汇票。</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60"/>
                            <w:sz w:val="18"/>
                            <w:szCs w:val="18"/>
                          </w:rPr>
                          <w:t> </w:t>
                        </w:r>
                        <w:r>
                          <w:rPr>
                            <w:rFonts w:ascii="宋体" w:hAnsi="宋体" w:cs="宋体" w:eastAsia="宋体" w:hint="default"/>
                            <w:sz w:val="18"/>
                            <w:szCs w:val="18"/>
                          </w:rPr>
                          <w:t>20,061.93</w:t>
                        </w:r>
                        <w:r>
                          <w:rPr>
                            <w:rFonts w:ascii="宋体" w:hAnsi="宋体" w:cs="宋体" w:eastAsia="宋体" w:hint="default"/>
                            <w:spacing w:val="-60"/>
                            <w:sz w:val="18"/>
                            <w:szCs w:val="18"/>
                          </w:rPr>
                          <w:t> </w:t>
                        </w:r>
                        <w:r>
                          <w:rPr>
                            <w:rFonts w:ascii="宋体" w:hAnsi="宋体" w:cs="宋体" w:eastAsia="宋体" w:hint="default"/>
                            <w:spacing w:val="-5"/>
                            <w:sz w:val="18"/>
                            <w:szCs w:val="18"/>
                          </w:rPr>
                          <w:t>万元，增幅</w:t>
                        </w:r>
                        <w:r>
                          <w:rPr>
                            <w:rFonts w:ascii="宋体" w:hAnsi="宋体" w:cs="宋体" w:eastAsia="宋体" w:hint="default"/>
                            <w:spacing w:val="-60"/>
                            <w:sz w:val="18"/>
                            <w:szCs w:val="18"/>
                          </w:rPr>
                          <w:t> </w:t>
                        </w:r>
                        <w:r>
                          <w:rPr>
                            <w:rFonts w:ascii="宋体" w:hAnsi="宋体" w:cs="宋体" w:eastAsia="宋体" w:hint="default"/>
                            <w:sz w:val="18"/>
                            <w:szCs w:val="18"/>
                          </w:rPr>
                          <w:t>41.04%，主要是子公司主要客户中国移动结款周期加大，铁塔公司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回款速度慢。</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宋体" w:hAnsi="宋体" w:cs="宋体" w:eastAsia="宋体" w:hint="default"/>
                            <w:sz w:val="18"/>
                            <w:szCs w:val="18"/>
                          </w:rPr>
                          <w:t>2,474.58</w:t>
                        </w:r>
                        <w:r>
                          <w:rPr>
                            <w:rFonts w:ascii="宋体" w:hAnsi="宋体" w:cs="宋体" w:eastAsia="宋体" w:hint="default"/>
                            <w:spacing w:val="-46"/>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宋体" w:hAnsi="宋体" w:cs="宋体" w:eastAsia="宋体" w:hint="default"/>
                            <w:sz w:val="18"/>
                            <w:szCs w:val="18"/>
                          </w:rPr>
                          <w:t>85.33%，主要是全资子公司创世漫道通道预付款增加</w:t>
                        </w:r>
                        <w:r>
                          <w:rPr>
                            <w:rFonts w:ascii="宋体" w:hAnsi="宋体" w:cs="宋体" w:eastAsia="宋体" w:hint="default"/>
                            <w:spacing w:val="-47"/>
                            <w:sz w:val="18"/>
                            <w:szCs w:val="18"/>
                          </w:rPr>
                          <w:t> </w:t>
                        </w:r>
                        <w:r>
                          <w:rPr>
                            <w:rFonts w:ascii="宋体" w:hAnsi="宋体" w:cs="宋体" w:eastAsia="宋体" w:hint="default"/>
                            <w:sz w:val="18"/>
                            <w:szCs w:val="18"/>
                          </w:rPr>
                          <w:t>50%。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宋体" w:hAnsi="宋体" w:cs="宋体" w:eastAsia="宋体" w:hint="default"/>
                            <w:sz w:val="18"/>
                            <w:szCs w:val="18"/>
                          </w:rPr>
                          <w:t>204.41</w:t>
                        </w:r>
                        <w:r>
                          <w:rPr>
                            <w:rFonts w:ascii="宋体" w:hAnsi="宋体" w:cs="宋体" w:eastAsia="宋体" w:hint="default"/>
                            <w:spacing w:val="-45"/>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宋体" w:hAnsi="宋体" w:cs="宋体" w:eastAsia="宋体" w:hint="default"/>
                            <w:sz w:val="18"/>
                            <w:szCs w:val="18"/>
                          </w:rPr>
                          <w:t>61.98%，主要是全资子公司长实通信存货增加。</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5"/>
                            <w:sz w:val="18"/>
                            <w:szCs w:val="18"/>
                          </w:rPr>
                          <w:t> </w:t>
                        </w:r>
                        <w:r>
                          <w:rPr>
                            <w:rFonts w:ascii="宋体" w:hAnsi="宋体" w:cs="宋体" w:eastAsia="宋体" w:hint="default"/>
                            <w:sz w:val="18"/>
                            <w:szCs w:val="18"/>
                          </w:rPr>
                          <w:t>71.79</w:t>
                        </w:r>
                        <w:r>
                          <w:rPr>
                            <w:rFonts w:ascii="宋体" w:hAnsi="宋体" w:cs="宋体" w:eastAsia="宋体" w:hint="default"/>
                            <w:spacing w:val="-45"/>
                            <w:sz w:val="18"/>
                            <w:szCs w:val="18"/>
                          </w:rPr>
                          <w:t> </w:t>
                        </w:r>
                        <w:r>
                          <w:rPr>
                            <w:rFonts w:ascii="宋体" w:hAnsi="宋体" w:cs="宋体" w:eastAsia="宋体" w:hint="default"/>
                            <w:sz w:val="18"/>
                            <w:szCs w:val="18"/>
                          </w:rPr>
                          <w:t>万元，降幅</w:t>
                        </w:r>
                        <w:r>
                          <w:rPr>
                            <w:rFonts w:ascii="宋体" w:hAnsi="宋体" w:cs="宋体" w:eastAsia="宋体" w:hint="default"/>
                            <w:spacing w:val="-47"/>
                            <w:sz w:val="18"/>
                            <w:szCs w:val="18"/>
                          </w:rPr>
                          <w:t> </w:t>
                        </w:r>
                        <w:r>
                          <w:rPr>
                            <w:rFonts w:ascii="宋体" w:hAnsi="宋体" w:cs="宋体" w:eastAsia="宋体" w:hint="default"/>
                            <w:sz w:val="18"/>
                            <w:szCs w:val="18"/>
                          </w:rPr>
                          <w:t>44.53%，主要是装修款摊销。</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57"/>
                            <w:sz w:val="18"/>
                            <w:szCs w:val="18"/>
                          </w:rPr>
                          <w:t> </w:t>
                        </w:r>
                        <w:r>
                          <w:rPr>
                            <w:rFonts w:ascii="宋体" w:hAnsi="宋体" w:cs="宋体" w:eastAsia="宋体" w:hint="default"/>
                            <w:sz w:val="18"/>
                            <w:szCs w:val="18"/>
                          </w:rPr>
                          <w:t>244.21</w:t>
                        </w:r>
                        <w:r>
                          <w:rPr>
                            <w:rFonts w:ascii="宋体" w:hAnsi="宋体" w:cs="宋体" w:eastAsia="宋体" w:hint="default"/>
                            <w:spacing w:val="-56"/>
                            <w:sz w:val="18"/>
                            <w:szCs w:val="18"/>
                          </w:rPr>
                          <w:t> </w:t>
                        </w:r>
                        <w:r>
                          <w:rPr>
                            <w:rFonts w:ascii="宋体" w:hAnsi="宋体" w:cs="宋体" w:eastAsia="宋体" w:hint="default"/>
                            <w:spacing w:val="-7"/>
                            <w:sz w:val="18"/>
                            <w:szCs w:val="18"/>
                          </w:rPr>
                          <w:t>万元，增幅</w:t>
                        </w:r>
                        <w:r>
                          <w:rPr>
                            <w:rFonts w:ascii="宋体" w:hAnsi="宋体" w:cs="宋体" w:eastAsia="宋体" w:hint="default"/>
                            <w:spacing w:val="-57"/>
                            <w:sz w:val="18"/>
                            <w:szCs w:val="18"/>
                          </w:rPr>
                          <w:t> </w:t>
                        </w:r>
                        <w:r>
                          <w:rPr>
                            <w:rFonts w:ascii="宋体" w:hAnsi="宋体" w:cs="宋体" w:eastAsia="宋体" w:hint="default"/>
                            <w:sz w:val="18"/>
                            <w:szCs w:val="18"/>
                          </w:rPr>
                          <w:t>37.51%，主要是期末应收款项增加计提的坏帐准备增加了递延所得税。</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宋体" w:hAnsi="宋体" w:cs="宋体" w:eastAsia="宋体" w:hint="default"/>
                            <w:sz w:val="18"/>
                            <w:szCs w:val="18"/>
                          </w:rPr>
                          <w:t>2,186.17</w:t>
                        </w:r>
                        <w:r>
                          <w:rPr>
                            <w:rFonts w:ascii="宋体" w:hAnsi="宋体" w:cs="宋体" w:eastAsia="宋体" w:hint="default"/>
                            <w:spacing w:val="-46"/>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宋体" w:hAnsi="宋体" w:cs="宋体" w:eastAsia="宋体" w:hint="default"/>
                            <w:sz w:val="18"/>
                            <w:szCs w:val="18"/>
                          </w:rPr>
                          <w:t>44.23%,主要是研发等部门人员增加导致。</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54.86</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pacing w:val="-3"/>
                            <w:sz w:val="18"/>
                            <w:szCs w:val="18"/>
                          </w:rPr>
                          <w:t>增</w:t>
                        </w:r>
                        <w:r>
                          <w:rPr>
                            <w:rFonts w:ascii="宋体" w:hAnsi="宋体" w:cs="宋体" w:eastAsia="宋体" w:hint="default"/>
                            <w:sz w:val="18"/>
                            <w:szCs w:val="18"/>
                          </w:rPr>
                          <w:t>幅</w:t>
                        </w:r>
                        <w:r>
                          <w:rPr>
                            <w:rFonts w:ascii="宋体" w:hAnsi="宋体" w:cs="宋体" w:eastAsia="宋体" w:hint="default"/>
                            <w:spacing w:val="-47"/>
                            <w:sz w:val="18"/>
                            <w:szCs w:val="18"/>
                          </w:rPr>
                          <w:t> </w:t>
                        </w:r>
                        <w:r>
                          <w:rPr>
                            <w:rFonts w:ascii="宋体" w:hAnsi="宋体" w:cs="宋体" w:eastAsia="宋体" w:hint="default"/>
                            <w:spacing w:val="1"/>
                            <w:sz w:val="18"/>
                            <w:szCs w:val="18"/>
                          </w:rPr>
                          <w:t>42</w:t>
                        </w:r>
                        <w:r>
                          <w:rPr>
                            <w:rFonts w:ascii="宋体" w:hAnsi="宋体" w:cs="宋体" w:eastAsia="宋体" w:hint="default"/>
                            <w:sz w:val="18"/>
                            <w:szCs w:val="18"/>
                          </w:rPr>
                          <w:t>.54%</w:t>
                        </w:r>
                        <w:r>
                          <w:rPr>
                            <w:rFonts w:ascii="宋体" w:hAnsi="宋体" w:cs="宋体" w:eastAsia="宋体" w:hint="default"/>
                            <w:spacing w:val="1"/>
                            <w:sz w:val="18"/>
                            <w:szCs w:val="18"/>
                          </w:rPr>
                          <w:t>,</w:t>
                        </w:r>
                        <w:r>
                          <w:rPr>
                            <w:rFonts w:ascii="宋体" w:hAnsi="宋体" w:cs="宋体" w:eastAsia="宋体" w:hint="default"/>
                            <w:sz w:val="18"/>
                            <w:szCs w:val="18"/>
                          </w:rPr>
                          <w:t>主要是因利润增加公</w:t>
                        </w:r>
                        <w:r>
                          <w:rPr>
                            <w:rFonts w:ascii="宋体" w:hAnsi="宋体" w:cs="宋体" w:eastAsia="宋体" w:hint="default"/>
                            <w:spacing w:val="-3"/>
                            <w:sz w:val="18"/>
                            <w:szCs w:val="18"/>
                          </w:rPr>
                          <w:t>司</w:t>
                        </w:r>
                        <w:r>
                          <w:rPr>
                            <w:rFonts w:ascii="宋体" w:hAnsi="宋体" w:cs="宋体" w:eastAsia="宋体" w:hint="default"/>
                            <w:sz w:val="18"/>
                            <w:szCs w:val="18"/>
                          </w:rPr>
                          <w:t>计提的应交增值税</w:t>
                        </w:r>
                        <w:r>
                          <w:rPr>
                            <w:rFonts w:ascii="宋体" w:hAnsi="宋体" w:cs="宋体" w:eastAsia="宋体" w:hint="default"/>
                            <w:spacing w:val="-77"/>
                            <w:sz w:val="18"/>
                            <w:szCs w:val="18"/>
                          </w:rPr>
                          <w:t>、</w:t>
                        </w:r>
                        <w:r>
                          <w:rPr>
                            <w:rFonts w:ascii="宋体" w:hAnsi="宋体" w:cs="宋体" w:eastAsia="宋体" w:hint="default"/>
                            <w:sz w:val="18"/>
                            <w:szCs w:val="18"/>
                          </w:rPr>
                          <w:t>企业所得税增加。</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7"/>
                            <w:sz w:val="18"/>
                            <w:szCs w:val="18"/>
                          </w:rPr>
                          <w:t> </w:t>
                        </w:r>
                        <w:r>
                          <w:rPr>
                            <w:rFonts w:ascii="宋体" w:hAnsi="宋体" w:cs="宋体" w:eastAsia="宋体" w:hint="default"/>
                            <w:sz w:val="18"/>
                            <w:szCs w:val="18"/>
                          </w:rPr>
                          <w:t>1,553.28</w:t>
                        </w:r>
                        <w:r>
                          <w:rPr>
                            <w:rFonts w:ascii="宋体" w:hAnsi="宋体" w:cs="宋体" w:eastAsia="宋体" w:hint="default"/>
                            <w:spacing w:val="-46"/>
                            <w:sz w:val="18"/>
                            <w:szCs w:val="18"/>
                          </w:rPr>
                          <w:t> </w:t>
                        </w:r>
                        <w:r>
                          <w:rPr>
                            <w:rFonts w:ascii="宋体" w:hAnsi="宋体" w:cs="宋体" w:eastAsia="宋体" w:hint="default"/>
                            <w:sz w:val="18"/>
                            <w:szCs w:val="18"/>
                          </w:rPr>
                          <w:t>万元，降幅</w:t>
                        </w:r>
                        <w:r>
                          <w:rPr>
                            <w:rFonts w:ascii="宋体" w:hAnsi="宋体" w:cs="宋体" w:eastAsia="宋体" w:hint="default"/>
                            <w:spacing w:val="-47"/>
                            <w:sz w:val="18"/>
                            <w:szCs w:val="18"/>
                          </w:rPr>
                          <w:t> </w:t>
                        </w:r>
                        <w:r>
                          <w:rPr>
                            <w:rFonts w:ascii="宋体" w:hAnsi="宋体" w:cs="宋体" w:eastAsia="宋体" w:hint="default"/>
                            <w:sz w:val="18"/>
                            <w:szCs w:val="18"/>
                          </w:rPr>
                          <w:t>42.21%,是因关联公司长实建设代收代付款减少。</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宋体" w:hAnsi="宋体" w:cs="宋体" w:eastAsia="宋体" w:hint="default"/>
                            <w:sz w:val="18"/>
                            <w:szCs w:val="18"/>
                          </w:rPr>
                          <w:t>2,470.44</w:t>
                        </w:r>
                        <w:r>
                          <w:rPr>
                            <w:rFonts w:ascii="宋体" w:hAnsi="宋体" w:cs="宋体" w:eastAsia="宋体" w:hint="default"/>
                            <w:spacing w:val="-45"/>
                            <w:sz w:val="18"/>
                            <w:szCs w:val="18"/>
                          </w:rPr>
                          <w:t> </w:t>
                        </w:r>
                        <w:r>
                          <w:rPr>
                            <w:rFonts w:ascii="宋体" w:hAnsi="宋体" w:cs="宋体" w:eastAsia="宋体" w:hint="default"/>
                            <w:sz w:val="18"/>
                            <w:szCs w:val="18"/>
                          </w:rPr>
                          <w:t>万元，降幅</w:t>
                        </w:r>
                        <w:r>
                          <w:rPr>
                            <w:rFonts w:ascii="宋体" w:hAnsi="宋体" w:cs="宋体" w:eastAsia="宋体" w:hint="default"/>
                            <w:spacing w:val="-46"/>
                            <w:sz w:val="18"/>
                            <w:szCs w:val="18"/>
                          </w:rPr>
                          <w:t> </w:t>
                        </w:r>
                        <w:r>
                          <w:rPr>
                            <w:rFonts w:ascii="宋体" w:hAnsi="宋体" w:cs="宋体" w:eastAsia="宋体" w:hint="default"/>
                            <w:sz w:val="18"/>
                            <w:szCs w:val="18"/>
                          </w:rPr>
                          <w:t>57.68%，主要是待抵扣赠送话费减少。</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60"/>
                            <w:sz w:val="18"/>
                            <w:szCs w:val="18"/>
                          </w:rPr>
                          <w:t> </w:t>
                        </w:r>
                        <w:r>
                          <w:rPr>
                            <w:rFonts w:ascii="宋体" w:hAnsi="宋体" w:cs="宋体" w:eastAsia="宋体" w:hint="default"/>
                            <w:sz w:val="18"/>
                            <w:szCs w:val="18"/>
                          </w:rPr>
                          <w:t>300</w:t>
                        </w:r>
                        <w:r>
                          <w:rPr>
                            <w:rFonts w:ascii="宋体" w:hAnsi="宋体" w:cs="宋体" w:eastAsia="宋体" w:hint="default"/>
                            <w:spacing w:val="-60"/>
                            <w:sz w:val="18"/>
                            <w:szCs w:val="18"/>
                          </w:rPr>
                          <w:t> </w:t>
                        </w:r>
                        <w:r>
                          <w:rPr>
                            <w:rFonts w:ascii="宋体" w:hAnsi="宋体" w:cs="宋体" w:eastAsia="宋体" w:hint="default"/>
                            <w:spacing w:val="-5"/>
                            <w:sz w:val="18"/>
                            <w:szCs w:val="18"/>
                          </w:rPr>
                          <w:t>万元，降幅</w:t>
                        </w:r>
                        <w:r>
                          <w:rPr>
                            <w:rFonts w:ascii="宋体" w:hAnsi="宋体" w:cs="宋体" w:eastAsia="宋体" w:hint="default"/>
                            <w:spacing w:val="-60"/>
                            <w:sz w:val="18"/>
                            <w:szCs w:val="18"/>
                          </w:rPr>
                          <w:t> </w:t>
                        </w:r>
                        <w:r>
                          <w:rPr>
                            <w:rFonts w:ascii="宋体" w:hAnsi="宋体" w:cs="宋体" w:eastAsia="宋体" w:hint="default"/>
                            <w:sz w:val="18"/>
                            <w:szCs w:val="18"/>
                          </w:rPr>
                          <w:t>100%，是上期创世漫道获得北京市科学技术委员会拨给的项目款，本期无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此项。</w:t>
                        </w:r>
                      </w:p>
                    </w:tc>
                  </w:tr>
                </w:tbl>
                <w:p>
                  <w:pPr/>
                </w:p>
              </w:txbxContent>
            </v:textbox>
            <w10:wrap type="none"/>
          </v:shape>
        </w:pict>
      </w:r>
      <w:r>
        <w:rPr>
          <w:rFonts w:ascii="宋体" w:hAnsi="宋体" w:cs="宋体" w:eastAsia="宋体" w:hint="default"/>
          <w:spacing w:val="-2"/>
          <w:sz w:val="21"/>
          <w:szCs w:val="21"/>
        </w:rPr>
        <w:t>度报告，按照网络维护业务营收排序在行业中位列前三名。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二、主要资产重大变化情况</w:t>
      </w:r>
      <w:r>
        <w:rPr>
          <w:rFonts w:ascii="宋体" w:hAnsi="宋体" w:cs="宋体" w:eastAsia="宋体" w:hint="default"/>
          <w:sz w:val="21"/>
          <w:szCs w:val="21"/>
        </w:rPr>
      </w:r>
    </w:p>
    <w:p>
      <w:pPr>
        <w:spacing w:after="0" w:line="544" w:lineRule="auto"/>
        <w:jc w:val="left"/>
        <w:rPr>
          <w:rFonts w:ascii="宋体" w:hAnsi="宋体" w:cs="宋体" w:eastAsia="宋体" w:hint="default"/>
          <w:sz w:val="21"/>
          <w:szCs w:val="21"/>
        </w:rPr>
        <w:sectPr>
          <w:pgSz w:w="11910" w:h="16840"/>
          <w:pgMar w:header="884" w:footer="1000" w:top="1140" w:bottom="1200" w:left="1080" w:right="9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before="0"/>
        <w:ind w:left="575" w:right="0" w:hanging="3"/>
        <w:jc w:val="left"/>
      </w:pPr>
      <w:r>
        <w:rPr/>
        <w:t>公司没有境外资产。</w:t>
      </w:r>
    </w:p>
    <w:p>
      <w:pPr>
        <w:spacing w:line="240" w:lineRule="auto" w:before="9"/>
        <w:rPr>
          <w:rFonts w:ascii="宋体" w:hAnsi="宋体" w:cs="宋体" w:eastAsia="宋体" w:hint="default"/>
          <w:sz w:val="26"/>
          <w:szCs w:val="26"/>
        </w:rPr>
      </w:pPr>
    </w:p>
    <w:p>
      <w:pPr>
        <w:pStyle w:val="BodyText"/>
        <w:spacing w:line="326" w:lineRule="auto" w:before="0"/>
        <w:ind w:right="0" w:firstLine="2"/>
        <w:jc w:val="left"/>
      </w:pPr>
      <w:r>
        <w:rPr>
          <w:rFonts w:ascii="宋体" w:hAnsi="宋体" w:cs="宋体" w:eastAsia="宋体" w:hint="default"/>
          <w:b/>
          <w:bCs/>
        </w:rPr>
        <w:t>三、核心竞争力分析</w:t>
      </w:r>
      <w:r>
        <w:rPr>
          <w:rFonts w:ascii="宋体" w:hAnsi="宋体" w:cs="宋体" w:eastAsia="宋体" w:hint="default"/>
          <w:b/>
          <w:bCs/>
          <w:w w:val="100"/>
        </w:rPr>
        <w:t> </w:t>
      </w:r>
      <w:r>
        <w:rPr>
          <w:spacing w:val="-2"/>
        </w:rPr>
        <w:t>(一)作为移动信息智能传输服务综合信息服务平台运营商，创世漫道竞争优势包括经验丰富且</w:t>
      </w:r>
    </w:p>
    <w:p>
      <w:pPr>
        <w:pStyle w:val="BodyText"/>
        <w:spacing w:line="236" w:lineRule="exact" w:before="0"/>
        <w:ind w:left="153" w:right="0"/>
        <w:jc w:val="both"/>
      </w:pPr>
      <w:r>
        <w:rPr/>
        <w:t>高效稳定的人才结构、自主核心处理平台的技术优势、分布广泛且质量较高的客户结构、进入良性</w:t>
      </w:r>
    </w:p>
    <w:p>
      <w:pPr>
        <w:pStyle w:val="BodyText"/>
        <w:spacing w:line="240" w:lineRule="auto" w:before="37"/>
        <w:ind w:left="153" w:right="0"/>
        <w:jc w:val="both"/>
      </w:pPr>
      <w:r>
        <w:rPr/>
        <w:t>循环的业务规模、长期市场化经营建立的品牌影响力、全面完善的客户增值服务优势：</w:t>
      </w:r>
    </w:p>
    <w:p>
      <w:pPr>
        <w:spacing w:line="240" w:lineRule="auto" w:before="10"/>
        <w:rPr>
          <w:rFonts w:ascii="宋体" w:hAnsi="宋体" w:cs="宋体" w:eastAsia="宋体" w:hint="default"/>
          <w:sz w:val="14"/>
          <w:szCs w:val="14"/>
        </w:rPr>
      </w:pPr>
    </w:p>
    <w:p>
      <w:pPr>
        <w:pStyle w:val="BodyText"/>
        <w:spacing w:line="273" w:lineRule="auto" w:before="0"/>
        <w:ind w:right="0"/>
        <w:jc w:val="left"/>
      </w:pPr>
      <w:r>
        <w:rPr/>
        <w:t>——经验丰富且高效稳定的人才结构。</w:t>
      </w:r>
      <w:r>
        <w:rPr>
          <w:w w:val="100"/>
        </w:rPr>
        <w:t> </w:t>
      </w:r>
      <w:r>
        <w:rPr>
          <w:spacing w:val="-2"/>
        </w:rPr>
        <w:t>作为科技驱动型企业，创世漫道经过激烈的市场历练，建立了一支行业经验丰富、稳定高效的</w:t>
      </w:r>
    </w:p>
    <w:p>
      <w:pPr>
        <w:pStyle w:val="BodyText"/>
        <w:spacing w:line="273" w:lineRule="auto"/>
        <w:ind w:left="153" w:right="130"/>
        <w:jc w:val="both"/>
      </w:pPr>
      <w:r>
        <w:rPr>
          <w:spacing w:val="-2"/>
        </w:rPr>
        <w:t>核心经营团队，团队成员均为国内长期从事移动信息服务及研发的从业人员，具有深厚的行业认识</w:t>
      </w:r>
      <w:r>
        <w:rPr>
          <w:spacing w:val="-44"/>
        </w:rPr>
        <w:t> </w:t>
      </w:r>
      <w:r>
        <w:rPr>
          <w:spacing w:val="-44"/>
        </w:rPr>
      </w:r>
      <w:r>
        <w:rPr>
          <w:spacing w:val="-2"/>
        </w:rPr>
        <w:t>和丰富的业务资源，熟悉国内三大运营商的不同技术标准，能够准确把握不同行业中客户的应用需</w:t>
      </w:r>
      <w:r>
        <w:rPr>
          <w:spacing w:val="-46"/>
        </w:rPr>
        <w:t> </w:t>
      </w:r>
      <w:r>
        <w:rPr>
          <w:spacing w:val="-46"/>
        </w:rPr>
      </w:r>
      <w:r>
        <w:rPr>
          <w:spacing w:val="-2"/>
        </w:rPr>
        <w:t>求，并开发出操作简便、功能完善的个性化接口产品或短信管理平台。报告期该核心团队人员未发</w:t>
      </w:r>
      <w:r>
        <w:rPr>
          <w:spacing w:val="-46"/>
        </w:rPr>
        <w:t> </w:t>
      </w:r>
      <w:r>
        <w:rPr>
          <w:spacing w:val="-46"/>
        </w:rPr>
      </w:r>
      <w:r>
        <w:rPr/>
        <w:t>生重大变动，同时引进人才</w:t>
      </w:r>
      <w:r>
        <w:rPr>
          <w:spacing w:val="-53"/>
        </w:rPr>
        <w:t> </w:t>
      </w:r>
      <w:r>
        <w:rPr/>
        <w:t>10</w:t>
      </w:r>
      <w:r>
        <w:rPr>
          <w:spacing w:val="-55"/>
        </w:rPr>
        <w:t> </w:t>
      </w:r>
      <w:r>
        <w:rPr/>
        <w:t>余人，引进培养新人</w:t>
      </w:r>
      <w:r>
        <w:rPr>
          <w:spacing w:val="-53"/>
        </w:rPr>
        <w:t> </w:t>
      </w:r>
      <w:r>
        <w:rPr/>
        <w:t>50</w:t>
      </w:r>
      <w:r>
        <w:rPr>
          <w:spacing w:val="-55"/>
        </w:rPr>
        <w:t> </w:t>
      </w:r>
      <w:r>
        <w:rPr/>
        <w:t>余人。</w:t>
      </w:r>
    </w:p>
    <w:p>
      <w:pPr>
        <w:pStyle w:val="BodyText"/>
        <w:spacing w:line="273" w:lineRule="auto" w:before="164"/>
        <w:ind w:left="153" w:right="130" w:firstLine="420"/>
        <w:jc w:val="both"/>
      </w:pPr>
      <w:r>
        <w:rPr>
          <w:spacing w:val="-2"/>
        </w:rPr>
        <w:t>——自主核心处理平台的技术优势。核心处理平台是创世漫道技术骨干成员自主研发并长期持</w:t>
      </w:r>
      <w:r>
        <w:rPr>
          <w:w w:val="100"/>
        </w:rPr>
        <w:t> </w:t>
      </w:r>
      <w:r>
        <w:rPr/>
        <w:t>续优化升级的独立系统，是业务发展的根本保障。</w:t>
      </w:r>
    </w:p>
    <w:p>
      <w:pPr>
        <w:pStyle w:val="BodyText"/>
        <w:spacing w:line="273" w:lineRule="auto"/>
        <w:ind w:left="153" w:right="132" w:firstLine="420"/>
        <w:jc w:val="both"/>
      </w:pPr>
      <w:r>
        <w:rPr/>
        <w:t>该平台具备智能调度通道资源和综合信息服务优势，具备“平台+接口”架构的广泛适用性和</w:t>
      </w:r>
      <w:r>
        <w:rPr>
          <w:w w:val="100"/>
        </w:rPr>
        <w:t> </w:t>
      </w:r>
      <w:r>
        <w:rPr/>
        <w:t>较强兼容性，具备瞬时并发的快速处理能力，具备高度稳定的服务性能及严密的信息安全保障。</w:t>
      </w:r>
    </w:p>
    <w:p>
      <w:pPr>
        <w:pStyle w:val="BodyText"/>
        <w:spacing w:line="273" w:lineRule="auto" w:before="8"/>
        <w:ind w:left="153" w:right="132" w:firstLine="420"/>
        <w:jc w:val="both"/>
      </w:pPr>
      <w:r>
        <w:rPr>
          <w:spacing w:val="-2"/>
        </w:rPr>
        <w:t>报告期创世漫道运用数据驱动、流式计算、大数据、人工智能等核心技术，重塑以数据驱动为</w:t>
      </w:r>
      <w:r>
        <w:rPr>
          <w:w w:val="100"/>
        </w:rPr>
        <w:t> </w:t>
      </w:r>
      <w:r>
        <w:rPr>
          <w:spacing w:val="-2"/>
        </w:rPr>
        <w:t>核心的业务处理平台，使之成为：以数据驱动为核心设计理念的信息推送平台、以大数据为基础的</w:t>
      </w:r>
      <w:r>
        <w:rPr>
          <w:spacing w:val="-46"/>
        </w:rPr>
        <w:t> </w:t>
      </w:r>
      <w:r>
        <w:rPr>
          <w:spacing w:val="-46"/>
        </w:rPr>
      </w:r>
      <w:r>
        <w:rPr>
          <w:spacing w:val="-2"/>
        </w:rPr>
        <w:t>用户画像和标签系统、精准营销信息推送平台、智能业务及运营和自动化运维平台，持续累积三网</w:t>
      </w:r>
      <w:r>
        <w:rPr>
          <w:spacing w:val="-46"/>
        </w:rPr>
        <w:t> </w:t>
      </w:r>
      <w:r>
        <w:rPr>
          <w:spacing w:val="-46"/>
        </w:rPr>
      </w:r>
      <w:r>
        <w:rPr>
          <w:spacing w:val="-2"/>
        </w:rPr>
        <w:t>资源、覆盖全国、分省落地能力、综合服务能力等核心资源，开拓综合信息服务能力，短信发送从</w:t>
      </w:r>
      <w:r>
        <w:rPr>
          <w:spacing w:val="-48"/>
        </w:rPr>
        <w:t> </w:t>
      </w:r>
      <w:r>
        <w:rPr>
          <w:spacing w:val="-48"/>
        </w:rPr>
      </w:r>
      <w:r>
        <w:rPr>
          <w:spacing w:val="-2"/>
        </w:rPr>
        <w:t>被动地、单向地拓展至主动地、目标地、相互地信息推送，促进触发类和真实需求的短信业务市场</w:t>
      </w:r>
      <w:r>
        <w:rPr>
          <w:spacing w:val="-46"/>
        </w:rPr>
        <w:t> </w:t>
      </w:r>
      <w:r>
        <w:rPr>
          <w:spacing w:val="-46"/>
        </w:rPr>
      </w:r>
      <w:r>
        <w:rPr/>
        <w:t>增长。</w:t>
      </w:r>
    </w:p>
    <w:p>
      <w:pPr>
        <w:pStyle w:val="BodyText"/>
        <w:spacing w:line="240" w:lineRule="auto"/>
        <w:ind w:right="0"/>
        <w:jc w:val="left"/>
      </w:pPr>
      <w:r>
        <w:rPr/>
        <w:t>报告期上述核心处理平台的日峰值发送能力(小时)达</w:t>
      </w:r>
      <w:r>
        <w:rPr>
          <w:spacing w:val="-54"/>
        </w:rPr>
        <w:t> </w:t>
      </w:r>
      <w:r>
        <w:rPr/>
        <w:t>5</w:t>
      </w:r>
      <w:r>
        <w:rPr>
          <w:spacing w:val="-54"/>
        </w:rPr>
        <w:t> </w:t>
      </w:r>
      <w:r>
        <w:rPr/>
        <w:t>亿条。</w:t>
      </w:r>
    </w:p>
    <w:p>
      <w:pPr>
        <w:spacing w:line="240" w:lineRule="auto" w:before="10"/>
        <w:rPr>
          <w:rFonts w:ascii="宋体" w:hAnsi="宋体" w:cs="宋体" w:eastAsia="宋体" w:hint="default"/>
          <w:sz w:val="14"/>
          <w:szCs w:val="14"/>
        </w:rPr>
      </w:pPr>
    </w:p>
    <w:p>
      <w:pPr>
        <w:pStyle w:val="BodyText"/>
        <w:spacing w:line="273" w:lineRule="auto" w:before="0"/>
        <w:ind w:right="0"/>
        <w:jc w:val="left"/>
      </w:pPr>
      <w:r>
        <w:rPr/>
        <w:t>——分布广泛、质量较高的客户结构。</w:t>
      </w:r>
      <w:r>
        <w:rPr>
          <w:w w:val="100"/>
        </w:rPr>
        <w:t> </w:t>
      </w:r>
      <w:r>
        <w:rPr>
          <w:spacing w:val="-2"/>
        </w:rPr>
        <w:t>创世漫道专注于触发类和真实需求短信领域的专业技术服务，服务客户包括阿里巴巴、京东、</w:t>
      </w:r>
    </w:p>
    <w:p>
      <w:pPr>
        <w:pStyle w:val="BodyText"/>
        <w:spacing w:line="273" w:lineRule="auto" w:before="8"/>
        <w:ind w:left="153" w:right="113"/>
        <w:jc w:val="both"/>
      </w:pPr>
      <w:r>
        <w:rPr>
          <w:spacing w:val="-2"/>
        </w:rPr>
        <w:t>腾讯、神州专车、广发银行、华融证券、中保财险、网银在线、小米、美团网、快钱、美的集团、</w:t>
      </w:r>
      <w:r>
        <w:rPr>
          <w:spacing w:val="-28"/>
        </w:rPr>
        <w:t> </w:t>
      </w:r>
      <w:r>
        <w:rPr>
          <w:spacing w:val="-28"/>
        </w:rPr>
      </w:r>
      <w:r>
        <w:rPr>
          <w:spacing w:val="-2"/>
        </w:rPr>
        <w:t>沃尔玛、全国人大信息中心、中央政法委政法综治信息中心、中国证券业协会、人民网等数量众多</w:t>
      </w:r>
      <w:r>
        <w:rPr>
          <w:spacing w:val="-45"/>
        </w:rPr>
        <w:t> </w:t>
      </w:r>
      <w:r>
        <w:rPr>
          <w:spacing w:val="-45"/>
        </w:rPr>
      </w:r>
      <w:r>
        <w:rPr>
          <w:spacing w:val="-2"/>
        </w:rPr>
        <w:t>的覆盖电子商务、金融、第三方支付、制造业、零售业、政府职能机构、公共服务等单位。报告期</w:t>
      </w:r>
      <w:r>
        <w:rPr>
          <w:spacing w:val="-43"/>
        </w:rPr>
        <w:t> </w:t>
      </w:r>
      <w:r>
        <w:rPr>
          <w:spacing w:val="-43"/>
        </w:rPr>
      </w:r>
      <w:r>
        <w:rPr/>
        <w:t>创世漫道服务客户数量</w:t>
      </w:r>
      <w:r>
        <w:rPr>
          <w:spacing w:val="-32"/>
        </w:rPr>
        <w:t> </w:t>
      </w:r>
      <w:r>
        <w:rPr/>
        <w:t>12,000</w:t>
      </w:r>
      <w:r>
        <w:rPr>
          <w:spacing w:val="-32"/>
        </w:rPr>
        <w:t> </w:t>
      </w:r>
      <w:r>
        <w:rPr/>
        <w:t>多家，服务终端用户超过</w:t>
      </w:r>
      <w:r>
        <w:rPr>
          <w:spacing w:val="-32"/>
        </w:rPr>
        <w:t> </w:t>
      </w:r>
      <w:r>
        <w:rPr/>
        <w:t>3.5</w:t>
      </w:r>
      <w:r>
        <w:rPr>
          <w:spacing w:val="-34"/>
        </w:rPr>
        <w:t> </w:t>
      </w:r>
      <w:r>
        <w:rPr/>
        <w:t>亿户，好的客户及其结构成为业务发</w:t>
      </w:r>
      <w:r>
        <w:rPr>
          <w:w w:val="100"/>
        </w:rPr>
        <w:t> </w:t>
      </w:r>
      <w:r>
        <w:rPr/>
        <w:t>展的主要驱动力。</w:t>
      </w:r>
    </w:p>
    <w:p>
      <w:pPr>
        <w:pStyle w:val="BodyText"/>
        <w:spacing w:line="273" w:lineRule="auto" w:before="164"/>
        <w:ind w:right="0"/>
        <w:jc w:val="left"/>
      </w:pPr>
      <w:r>
        <w:rPr/>
        <w:t>——进入良性发展循环的业务规模。</w:t>
      </w:r>
      <w:r>
        <w:rPr>
          <w:w w:val="100"/>
        </w:rPr>
        <w:t> </w:t>
      </w:r>
      <w:r>
        <w:rPr>
          <w:spacing w:val="-2"/>
        </w:rPr>
        <w:t>传统的信息智能传输业务进入门槛不高，但要形成一定的业务规模并保持增长，则需要系统技</w:t>
      </w:r>
    </w:p>
    <w:p>
      <w:pPr>
        <w:pStyle w:val="BodyText"/>
        <w:spacing w:line="273" w:lineRule="auto"/>
        <w:ind w:left="153" w:right="113"/>
        <w:jc w:val="both"/>
      </w:pPr>
      <w:r>
        <w:rPr>
          <w:spacing w:val="-2"/>
        </w:rPr>
        <w:t>术、客户资源、运营商认可等多方面的长期积累。随着上述具备人工智能和大数据运用核心平台的</w:t>
      </w:r>
      <w:r>
        <w:rPr>
          <w:spacing w:val="-46"/>
        </w:rPr>
        <w:t> </w:t>
      </w:r>
      <w:r>
        <w:rPr>
          <w:spacing w:val="-46"/>
        </w:rPr>
      </w:r>
      <w:r>
        <w:rPr>
          <w:spacing w:val="-2"/>
        </w:rPr>
        <w:t>运转使得创世漫道和运营商的合作更紧密、对客户的黏性更高，平台可以基于语义分析，拒绝率，</w:t>
      </w:r>
      <w:r>
        <w:rPr>
          <w:spacing w:val="-25"/>
        </w:rPr>
        <w:t> </w:t>
      </w:r>
      <w:r>
        <w:rPr>
          <w:spacing w:val="-25"/>
        </w:rPr>
      </w:r>
      <w:r>
        <w:rPr>
          <w:spacing w:val="-2"/>
        </w:rPr>
        <w:t>网络吞吐率，投诉率和用户转化率等多纬度动态调配生产要素和参数，产生智能学习效果，使得对</w:t>
      </w:r>
      <w:r>
        <w:rPr>
          <w:spacing w:val="-46"/>
        </w:rPr>
        <w:t> </w:t>
      </w:r>
      <w:r>
        <w:rPr>
          <w:spacing w:val="-46"/>
        </w:rPr>
      </w:r>
      <w:r>
        <w:rPr>
          <w:spacing w:val="-2"/>
        </w:rPr>
        <w:t>信息内容有了更高的风险控制能力，可以承接更多中小企业及互联网类业务，创世漫道凭借良好的</w:t>
      </w:r>
      <w:r>
        <w:rPr>
          <w:spacing w:val="-44"/>
        </w:rPr>
        <w:t> </w:t>
      </w:r>
      <w:r>
        <w:rPr>
          <w:spacing w:val="-44"/>
        </w:rPr>
      </w:r>
      <w:r>
        <w:rPr>
          <w:spacing w:val="-2"/>
        </w:rPr>
        <w:t>客户结构和质量、先进完善的技术支持平台，依靠规模优势提高了竞争门槛。报告期创世漫道在全</w:t>
      </w:r>
      <w:r>
        <w:rPr>
          <w:spacing w:val="-46"/>
        </w:rPr>
        <w:t> </w:t>
      </w:r>
      <w:r>
        <w:rPr>
          <w:spacing w:val="-46"/>
        </w:rPr>
      </w:r>
      <w:r>
        <w:rPr/>
        <w:t>国</w:t>
      </w:r>
      <w:r>
        <w:rPr>
          <w:spacing w:val="-34"/>
        </w:rPr>
        <w:t> </w:t>
      </w:r>
      <w:r>
        <w:rPr/>
        <w:t>21</w:t>
      </w:r>
      <w:r>
        <w:rPr>
          <w:spacing w:val="-34"/>
        </w:rPr>
        <w:t> </w:t>
      </w:r>
      <w:r>
        <w:rPr/>
        <w:t>个省有落地通道资源，拥有</w:t>
      </w:r>
      <w:r>
        <w:rPr>
          <w:spacing w:val="-34"/>
        </w:rPr>
        <w:t> </w:t>
      </w:r>
      <w:r>
        <w:rPr/>
        <w:t>3,000</w:t>
      </w:r>
      <w:r>
        <w:rPr>
          <w:spacing w:val="-34"/>
        </w:rPr>
        <w:t> </w:t>
      </w:r>
      <w:r>
        <w:rPr/>
        <w:t>多条通道，通过审核、过滤、自然语言识别、数据分析和</w:t>
      </w:r>
      <w:r>
        <w:rPr>
          <w:w w:val="100"/>
        </w:rPr>
        <w:t> </w:t>
      </w:r>
      <w:r>
        <w:rPr/>
        <w:t>用户画像技术，将发送投诉率控制在百万分之零点五以下。</w:t>
      </w:r>
    </w:p>
    <w:p>
      <w:pPr>
        <w:pStyle w:val="BodyText"/>
        <w:spacing w:line="273" w:lineRule="auto" w:before="164"/>
        <w:ind w:right="0"/>
        <w:jc w:val="left"/>
      </w:pPr>
      <w:r>
        <w:rPr/>
        <w:t>——长期市场化经营建立的品牌影响力。</w:t>
      </w:r>
      <w:r>
        <w:rPr>
          <w:w w:val="100"/>
        </w:rPr>
        <w:t> </w:t>
      </w:r>
      <w:r>
        <w:rPr>
          <w:spacing w:val="2"/>
        </w:rPr>
        <w:t>创世漫道坚持市场化运营的原则和技术创新驱动策略，相比拥有特殊资源优势的行业竞争对</w:t>
      </w:r>
    </w:p>
    <w:p>
      <w:pPr>
        <w:spacing w:after="0" w:line="273" w:lineRule="auto"/>
        <w:jc w:val="left"/>
        <w:sectPr>
          <w:footerReference w:type="default" r:id="rId19"/>
          <w:pgSz w:w="11910" w:h="16840"/>
          <w:pgMar w:footer="1000" w:header="884" w:top="1140" w:bottom="1200" w:left="1320" w:right="1280"/>
        </w:sectPr>
      </w:pPr>
    </w:p>
    <w:p>
      <w:pPr>
        <w:pStyle w:val="BodyText"/>
        <w:spacing w:line="273" w:lineRule="auto" w:before="131"/>
        <w:ind w:left="153" w:right="46"/>
        <w:jc w:val="left"/>
      </w:pPr>
      <w:r>
        <w:rPr>
          <w:spacing w:val="-5"/>
        </w:rPr>
        <w:t>手，通过长期市场化竞争和持续技术进步积累了深刻的行业运营经验，提升客户综合信息服务水平，</w:t>
      </w:r>
      <w:r>
        <w:rPr>
          <w:spacing w:val="-18"/>
        </w:rPr>
        <w:t> </w:t>
      </w:r>
      <w:r>
        <w:rPr>
          <w:spacing w:val="-18"/>
        </w:rPr>
      </w:r>
      <w:r>
        <w:rPr/>
        <w:t>因此获得了客户、行业、市场的整体认可，品牌影响力不断提升，业务不断拓展，报告期创世漫道</w:t>
      </w:r>
      <w:r>
        <w:rPr>
          <w:w w:val="100"/>
        </w:rPr>
        <w:t> </w:t>
      </w:r>
      <w:r>
        <w:rPr/>
        <w:t>成为各类客户集中度较高的头部企业，例如电商京东的首选综合信息服务商。</w:t>
      </w:r>
    </w:p>
    <w:p>
      <w:pPr>
        <w:pStyle w:val="BodyText"/>
        <w:spacing w:line="240" w:lineRule="auto" w:before="164"/>
        <w:ind w:right="46"/>
        <w:jc w:val="left"/>
      </w:pPr>
      <w:r>
        <w:rPr/>
        <w:t>——全面完善的客户增值服务优势。</w:t>
      </w:r>
    </w:p>
    <w:p>
      <w:pPr>
        <w:pStyle w:val="BodyText"/>
        <w:spacing w:line="273" w:lineRule="auto" w:before="37"/>
        <w:ind w:left="153" w:right="212" w:firstLine="420"/>
        <w:jc w:val="both"/>
      </w:pPr>
      <w:r>
        <w:rPr/>
        <w:t>创世漫道具备全天候、快速应变能力，提供</w:t>
      </w:r>
      <w:r>
        <w:rPr>
          <w:spacing w:val="-64"/>
        </w:rPr>
        <w:t> </w:t>
      </w:r>
      <w:r>
        <w:rPr/>
        <w:t>7×24</w:t>
      </w:r>
      <w:r>
        <w:rPr>
          <w:spacing w:val="-64"/>
        </w:rPr>
        <w:t> </w:t>
      </w:r>
      <w:r>
        <w:rPr/>
        <w:t>小时客服人员电话专线服务。还为客户提供</w:t>
      </w:r>
      <w:r>
        <w:rPr>
          <w:w w:val="100"/>
        </w:rPr>
        <w:t> </w:t>
      </w:r>
      <w:r>
        <w:rPr>
          <w:spacing w:val="-2"/>
        </w:rPr>
        <w:t>一系列具有前瞻性的增值服务，全面涵盖了移动信息发送服务中的各环节，为客户产生了特定的附</w:t>
      </w:r>
      <w:r>
        <w:rPr>
          <w:spacing w:val="-46"/>
        </w:rPr>
        <w:t> </w:t>
      </w:r>
      <w:r>
        <w:rPr>
          <w:spacing w:val="-46"/>
        </w:rPr>
      </w:r>
      <w:r>
        <w:rPr/>
        <w:t>加价值，有利于进一步完善客户体验，提高客户黏性，加强在市场竞争中确立的业务优势。</w:t>
      </w:r>
    </w:p>
    <w:p>
      <w:pPr>
        <w:pStyle w:val="BodyText"/>
        <w:spacing w:line="273" w:lineRule="auto" w:before="163"/>
        <w:ind w:left="153" w:right="210" w:firstLine="420"/>
        <w:jc w:val="both"/>
      </w:pPr>
      <w:r>
        <w:rPr>
          <w:spacing w:val="-2"/>
        </w:rPr>
        <w:t>(二)作为通信网络维护技术服务商，公司全资子公司长实通信的竞争优势包括拥有专业的管理</w:t>
      </w:r>
      <w:r>
        <w:rPr>
          <w:w w:val="100"/>
        </w:rPr>
        <w:t> </w:t>
      </w:r>
      <w:r>
        <w:rPr>
          <w:spacing w:val="-2"/>
        </w:rPr>
        <w:t>团队和技术人才、先进的技术服务水平和研发能力、精细化的管理体系、过硬的资质和丰富的项目</w:t>
      </w:r>
      <w:r>
        <w:rPr>
          <w:spacing w:val="-46"/>
        </w:rPr>
        <w:t> </w:t>
      </w:r>
      <w:r>
        <w:rPr>
          <w:spacing w:val="-46"/>
        </w:rPr>
      </w:r>
      <w:r>
        <w:rPr/>
        <w:t>经验、跨区域、综合化的服务能力：</w:t>
      </w:r>
    </w:p>
    <w:p>
      <w:pPr>
        <w:pStyle w:val="BodyText"/>
        <w:spacing w:line="273" w:lineRule="auto" w:before="164"/>
        <w:ind w:right="46"/>
        <w:jc w:val="left"/>
      </w:pPr>
      <w:r>
        <w:rPr/>
        <w:t>——拥有专业的管理团队和技术人才。</w:t>
      </w:r>
      <w:r>
        <w:rPr>
          <w:w w:val="100"/>
        </w:rPr>
        <w:t> </w:t>
      </w:r>
      <w:r>
        <w:rPr>
          <w:spacing w:val="-2"/>
        </w:rPr>
        <w:t>专业的管理团队和技术人才是通信网络技术维护业务发展的支柱。长实通信经过多年的人才培</w:t>
      </w:r>
    </w:p>
    <w:p>
      <w:pPr>
        <w:pStyle w:val="BodyText"/>
        <w:spacing w:line="273" w:lineRule="auto"/>
        <w:ind w:left="153" w:right="210"/>
        <w:jc w:val="both"/>
      </w:pPr>
      <w:r>
        <w:rPr>
          <w:spacing w:val="-2"/>
        </w:rPr>
        <w:t>养和行业经验积累，形成的一支专业技术过硬的服务团队，精通基站、线路、宽带接入、固定电话</w:t>
      </w:r>
      <w:r>
        <w:rPr>
          <w:spacing w:val="-47"/>
        </w:rPr>
        <w:t> </w:t>
      </w:r>
      <w:r>
        <w:rPr>
          <w:spacing w:val="-47"/>
        </w:rPr>
      </w:r>
      <w:r>
        <w:rPr>
          <w:spacing w:val="-4"/>
        </w:rPr>
        <w:t>接入、WLAN </w:t>
      </w:r>
      <w:r>
        <w:rPr>
          <w:spacing w:val="-3"/>
        </w:rPr>
        <w:t>等技术专业领域，并熟练掌握了各类不同网络的构造特点、组网方式和各主流设备商通</w:t>
      </w:r>
      <w:r>
        <w:rPr>
          <w:spacing w:val="-91"/>
        </w:rPr>
        <w:t> </w:t>
      </w:r>
      <w:r>
        <w:rPr>
          <w:spacing w:val="-91"/>
        </w:rPr>
      </w:r>
      <w:r>
        <w:rPr>
          <w:spacing w:val="-2"/>
        </w:rPr>
        <w:t>信设备的施工工艺、操作规程、维护技术与优化方法。报告期长实通信管理团队及技术人才保持稳</w:t>
      </w:r>
      <w:r>
        <w:rPr>
          <w:spacing w:val="-51"/>
        </w:rPr>
        <w:t> </w:t>
      </w:r>
      <w:r>
        <w:rPr>
          <w:spacing w:val="-51"/>
        </w:rPr>
      </w:r>
      <w:r>
        <w:rPr/>
        <w:t>定，员工中</w:t>
      </w:r>
      <w:r>
        <w:rPr>
          <w:spacing w:val="-42"/>
        </w:rPr>
        <w:t> </w:t>
      </w:r>
      <w:r>
        <w:rPr/>
        <w:t>3,986</w:t>
      </w:r>
      <w:r>
        <w:rPr>
          <w:spacing w:val="-43"/>
        </w:rPr>
        <w:t> </w:t>
      </w:r>
      <w:r>
        <w:rPr/>
        <w:t>人参加了运营商的认证，其中</w:t>
      </w:r>
      <w:r>
        <w:rPr>
          <w:spacing w:val="-43"/>
        </w:rPr>
        <w:t> </w:t>
      </w:r>
      <w:r>
        <w:rPr/>
        <w:t>96%以上的人通过行业技术认证或企业内部技术等</w:t>
      </w:r>
      <w:r>
        <w:rPr>
          <w:w w:val="100"/>
        </w:rPr>
        <w:t> </w:t>
      </w:r>
      <w:r>
        <w:rPr/>
        <w:t>级认证。</w:t>
      </w:r>
    </w:p>
    <w:p>
      <w:pPr>
        <w:pStyle w:val="BodyText"/>
        <w:spacing w:line="273" w:lineRule="auto" w:before="163"/>
        <w:ind w:right="46"/>
        <w:jc w:val="left"/>
      </w:pPr>
      <w:r>
        <w:rPr/>
        <w:t>——拥有先进的技术服务水平和研发能力。</w:t>
      </w:r>
      <w:r>
        <w:rPr>
          <w:w w:val="100"/>
        </w:rPr>
        <w:t> </w:t>
      </w:r>
      <w:r>
        <w:rPr>
          <w:spacing w:val="-2"/>
        </w:rPr>
        <w:t>长实通信在通信设备质量监控、光缆线路的维护检测等领域取得了领先的技术成果，实现了对</w:t>
      </w:r>
    </w:p>
    <w:p>
      <w:pPr>
        <w:pStyle w:val="BodyText"/>
        <w:spacing w:line="273" w:lineRule="auto"/>
        <w:ind w:left="153" w:right="210"/>
        <w:jc w:val="both"/>
      </w:pPr>
      <w:r>
        <w:rPr>
          <w:spacing w:val="-2"/>
        </w:rPr>
        <w:t>光缆线路运行状态的跟踪监测及故障的快速定位，为高危区域的主要设备提供无直接电源情况下的</w:t>
      </w:r>
      <w:r>
        <w:rPr>
          <w:spacing w:val="-42"/>
        </w:rPr>
        <w:t> </w:t>
      </w:r>
      <w:r>
        <w:rPr>
          <w:spacing w:val="-42"/>
        </w:rPr>
      </w:r>
      <w:r>
        <w:rPr>
          <w:spacing w:val="-2"/>
        </w:rPr>
        <w:t>安全追综、监控服务，提高了通信故障的事前预防水平。报告期长实通信优化光缆网络维护检测技</w:t>
      </w:r>
      <w:r>
        <w:rPr>
          <w:spacing w:val="-47"/>
        </w:rPr>
        <w:t> </w:t>
      </w:r>
      <w:r>
        <w:rPr>
          <w:spacing w:val="-47"/>
        </w:rPr>
      </w:r>
      <w:r>
        <w:rPr/>
        <w:t>术，故障定位更准确。</w:t>
      </w:r>
    </w:p>
    <w:p>
      <w:pPr>
        <w:pStyle w:val="BodyText"/>
        <w:spacing w:line="273" w:lineRule="auto" w:before="163"/>
        <w:ind w:right="46"/>
        <w:jc w:val="left"/>
      </w:pPr>
      <w:r>
        <w:rPr/>
        <w:t>——拥有精细化的管理体系。</w:t>
      </w:r>
      <w:r>
        <w:rPr>
          <w:w w:val="100"/>
        </w:rPr>
        <w:t> </w:t>
      </w:r>
      <w:r>
        <w:rPr>
          <w:spacing w:val="-2"/>
        </w:rPr>
        <w:t>为了提升对通信运营商本地化或跨区域的服务能力，长实通信针对自身业务特点建立完善的服</w:t>
      </w:r>
    </w:p>
    <w:p>
      <w:pPr>
        <w:pStyle w:val="BodyText"/>
        <w:spacing w:line="273" w:lineRule="auto"/>
        <w:ind w:left="153" w:right="46"/>
        <w:jc w:val="left"/>
      </w:pPr>
      <w:r>
        <w:rPr>
          <w:spacing w:val="-5"/>
        </w:rPr>
        <w:t>务网络，通过自主构建的信息化管理平台，全面覆盖项目招投标、合同签订、方案设计、项目执行、</w:t>
      </w:r>
      <w:r>
        <w:rPr>
          <w:spacing w:val="-20"/>
        </w:rPr>
        <w:t> </w:t>
      </w:r>
      <w:r>
        <w:rPr>
          <w:spacing w:val="-20"/>
        </w:rPr>
      </w:r>
      <w:r>
        <w:rPr/>
        <w:t>项目审核等各个环节，对项目、客户、人员、设备、项目周期进行实时掌控，实现对设备使用及技</w:t>
      </w:r>
      <w:r>
        <w:rPr>
          <w:w w:val="100"/>
        </w:rPr>
        <w:t> </w:t>
      </w:r>
      <w:r>
        <w:rPr/>
        <w:t>术人员专业知识、实践经验、所处区位、工作饱和度的实时检索和定位，提高资源使用效率，降低</w:t>
      </w:r>
      <w:r>
        <w:rPr>
          <w:w w:val="100"/>
        </w:rPr>
        <w:t> </w:t>
      </w:r>
      <w:r>
        <w:rPr/>
        <w:t>运营管理成本。报告期长实通信凭借优化信息化管理平台和技术进步，整合各区域业务技术、人力</w:t>
      </w:r>
      <w:r>
        <w:rPr>
          <w:w w:val="100"/>
        </w:rPr>
        <w:t> </w:t>
      </w:r>
      <w:r>
        <w:rPr/>
        <w:t>资源。</w:t>
      </w:r>
    </w:p>
    <w:p>
      <w:pPr>
        <w:pStyle w:val="BodyText"/>
        <w:spacing w:line="273" w:lineRule="auto" w:before="164"/>
        <w:ind w:right="46"/>
        <w:jc w:val="left"/>
      </w:pPr>
      <w:r>
        <w:rPr/>
        <w:t>——拥有过硬的资质和丰富的项目经验。</w:t>
      </w:r>
      <w:r>
        <w:rPr>
          <w:w w:val="100"/>
        </w:rPr>
        <w:t> </w:t>
      </w:r>
      <w:r>
        <w:rPr>
          <w:spacing w:val="-2"/>
        </w:rPr>
        <w:t>长实通信是国内早期从事通信技术服务的企业之一，经过十余年的专业、专注经营和持续的技</w:t>
      </w:r>
    </w:p>
    <w:p>
      <w:pPr>
        <w:pStyle w:val="BodyText"/>
        <w:spacing w:line="273" w:lineRule="auto" w:before="8"/>
        <w:ind w:left="153" w:right="210"/>
        <w:jc w:val="both"/>
      </w:pPr>
      <w:r>
        <w:rPr>
          <w:spacing w:val="-2"/>
        </w:rPr>
        <w:t>术投入，长实通信具备通信网络代维基站和线路双甲级资质和综合代维甲级资质，报告期经申请获</w:t>
      </w:r>
      <w:r>
        <w:rPr>
          <w:spacing w:val="-43"/>
        </w:rPr>
        <w:t> </w:t>
      </w:r>
      <w:r>
        <w:rPr>
          <w:spacing w:val="-43"/>
        </w:rPr>
      </w:r>
      <w:r>
        <w:rPr>
          <w:spacing w:val="-2"/>
        </w:rPr>
        <w:t>得通信网络代维(外包)企业铁塔专业甲级资质。同时，长实通信具有丰富的项目经验，多次参加国</w:t>
      </w:r>
      <w:r>
        <w:rPr>
          <w:spacing w:val="-44"/>
        </w:rPr>
        <w:t> </w:t>
      </w:r>
      <w:r>
        <w:rPr>
          <w:spacing w:val="-44"/>
        </w:rPr>
      </w:r>
      <w:r>
        <w:rPr/>
        <w:t>家重大通信网络保障项目，曾参与 2008</w:t>
      </w:r>
      <w:r>
        <w:rPr>
          <w:spacing w:val="-23"/>
        </w:rPr>
        <w:t> </w:t>
      </w:r>
      <w:r>
        <w:rPr/>
        <w:t>北京奥运会的通信保障工作、汶川大地震通信抢修工作和</w:t>
      </w:r>
    </w:p>
    <w:p>
      <w:pPr>
        <w:pStyle w:val="BodyText"/>
        <w:spacing w:line="273" w:lineRule="auto"/>
        <w:ind w:left="153" w:right="210"/>
        <w:jc w:val="both"/>
      </w:pPr>
      <w:r>
        <w:rPr/>
        <w:t>2016</w:t>
      </w:r>
      <w:r>
        <w:rPr>
          <w:spacing w:val="-44"/>
        </w:rPr>
        <w:t> </w:t>
      </w:r>
      <w:r>
        <w:rPr/>
        <w:t>年</w:t>
      </w:r>
      <w:r>
        <w:rPr>
          <w:spacing w:val="-42"/>
        </w:rPr>
        <w:t> </w:t>
      </w:r>
      <w:r>
        <w:rPr/>
        <w:t>20</w:t>
      </w:r>
      <w:r>
        <w:rPr>
          <w:spacing w:val="-44"/>
        </w:rPr>
        <w:t> </w:t>
      </w:r>
      <w:r>
        <w:rPr/>
        <w:t>国集团领导人杭州峰会通信保障工作。报告期长实通信参与中国共产党第十九次全国代</w:t>
      </w:r>
      <w:r>
        <w:rPr>
          <w:w w:val="100"/>
        </w:rPr>
        <w:t> </w:t>
      </w:r>
      <w:r>
        <w:rPr>
          <w:spacing w:val="-2"/>
        </w:rPr>
        <w:t>表大会、厦门金砖国家领导人会晤和第十三届全国运动会等重大通信保障工作，支援福建厦门抗击</w:t>
      </w:r>
      <w:r>
        <w:rPr>
          <w:spacing w:val="-42"/>
        </w:rPr>
        <w:t> </w:t>
      </w:r>
      <w:r>
        <w:rPr>
          <w:spacing w:val="-42"/>
        </w:rPr>
      </w:r>
      <w:r>
        <w:rPr/>
        <w:t>“纳沙”、“海棠”和广东“天鸽”等台风的通信保障抢修工作。</w:t>
      </w:r>
    </w:p>
    <w:p>
      <w:pPr>
        <w:pStyle w:val="BodyText"/>
        <w:spacing w:line="273" w:lineRule="auto" w:before="164"/>
        <w:ind w:right="46"/>
        <w:jc w:val="left"/>
      </w:pPr>
      <w:r>
        <w:rPr/>
        <w:t>——拥有跨区域、综合化的服务能力。</w:t>
      </w:r>
      <w:r>
        <w:rPr>
          <w:w w:val="100"/>
        </w:rPr>
        <w:t> </w:t>
      </w:r>
      <w:r>
        <w:rPr>
          <w:spacing w:val="-2"/>
        </w:rPr>
        <w:t>长实通信形成了特有的运营维护体系，具备了为客户提供通信网络基站、线路、终端设备等维</w:t>
      </w:r>
    </w:p>
    <w:p>
      <w:pPr>
        <w:pStyle w:val="BodyText"/>
        <w:spacing w:line="273" w:lineRule="auto"/>
        <w:ind w:left="153" w:right="210"/>
        <w:jc w:val="both"/>
      </w:pPr>
      <w:r>
        <w:rPr>
          <w:spacing w:val="-2"/>
        </w:rPr>
        <w:t>护的一体化解决方案，使客户享受便捷的一站式服务，降低了客户选择不同技术服务商的转换成本</w:t>
      </w:r>
      <w:r>
        <w:rPr>
          <w:spacing w:val="-45"/>
        </w:rPr>
        <w:t> </w:t>
      </w:r>
      <w:r>
        <w:rPr>
          <w:spacing w:val="-45"/>
        </w:rPr>
      </w:r>
      <w:r>
        <w:rPr/>
        <w:t>和管理成本，树立企业品牌，取得客户信赖。报告期长实通信业务已覆盖国内 25</w:t>
      </w:r>
      <w:r>
        <w:rPr>
          <w:spacing w:val="-24"/>
        </w:rPr>
        <w:t> </w:t>
      </w:r>
      <w:r>
        <w:rPr/>
        <w:t>个省区，较上年</w:t>
      </w:r>
    </w:p>
    <w:p>
      <w:pPr>
        <w:pStyle w:val="BodyText"/>
        <w:spacing w:line="240" w:lineRule="auto"/>
        <w:ind w:left="153" w:right="0"/>
        <w:jc w:val="both"/>
      </w:pPr>
      <w:r>
        <w:rPr/>
        <w:t>新进入</w:t>
      </w:r>
      <w:r>
        <w:rPr>
          <w:spacing w:val="-53"/>
        </w:rPr>
        <w:t> </w:t>
      </w:r>
      <w:r>
        <w:rPr/>
        <w:t>6</w:t>
      </w:r>
      <w:r>
        <w:rPr>
          <w:spacing w:val="-53"/>
        </w:rPr>
        <w:t> </w:t>
      </w:r>
      <w:r>
        <w:rPr/>
        <w:t>个省区。</w:t>
      </w:r>
    </w:p>
    <w:p>
      <w:pPr>
        <w:spacing w:after="0" w:line="240" w:lineRule="auto"/>
        <w:jc w:val="both"/>
        <w:sectPr>
          <w:footerReference w:type="default" r:id="rId20"/>
          <w:pgSz w:w="11910" w:h="16840"/>
          <w:pgMar w:footer="1000" w:header="884" w:top="1140" w:bottom="1200" w:left="1320" w:right="120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tabs>
          <w:tab w:pos="1286" w:val="left" w:leader="none"/>
        </w:tabs>
        <w:spacing w:before="0"/>
        <w:ind w:left="0" w:right="61" w:firstLine="0"/>
        <w:jc w:val="center"/>
        <w:rPr>
          <w:rFonts w:ascii="宋体" w:hAnsi="宋体" w:cs="宋体" w:eastAsia="宋体" w:hint="default"/>
          <w:sz w:val="32"/>
          <w:szCs w:val="32"/>
        </w:rPr>
      </w:pPr>
      <w:r>
        <w:rPr>
          <w:rFonts w:ascii="宋体" w:hAnsi="宋体" w:cs="宋体" w:eastAsia="宋体" w:hint="default"/>
          <w:b/>
          <w:bCs/>
          <w:w w:val="95"/>
          <w:sz w:val="32"/>
          <w:szCs w:val="32"/>
        </w:rPr>
        <w:t>第四章</w:t>
        <w:tab/>
      </w:r>
      <w:r>
        <w:rPr>
          <w:rFonts w:ascii="宋体" w:hAnsi="宋体" w:cs="宋体" w:eastAsia="宋体" w:hint="default"/>
          <w:b/>
          <w:bCs/>
          <w:sz w:val="32"/>
          <w:szCs w:val="32"/>
        </w:rPr>
        <w:t>经营情况讨论与分析</w:t>
      </w:r>
      <w:r>
        <w:rPr>
          <w:rFonts w:ascii="宋体" w:hAnsi="宋体" w:cs="宋体" w:eastAsia="宋体" w:hint="default"/>
          <w:sz w:val="32"/>
          <w:szCs w:val="32"/>
        </w:rPr>
      </w:r>
    </w:p>
    <w:p>
      <w:pPr>
        <w:spacing w:line="240" w:lineRule="auto" w:before="9"/>
        <w:rPr>
          <w:rFonts w:ascii="宋体" w:hAnsi="宋体" w:cs="宋体" w:eastAsia="宋体" w:hint="default"/>
          <w:b/>
          <w:bCs/>
          <w:sz w:val="34"/>
          <w:szCs w:val="34"/>
        </w:rPr>
      </w:pPr>
    </w:p>
    <w:p>
      <w:pPr>
        <w:tabs>
          <w:tab w:pos="844" w:val="left" w:leader="none"/>
        </w:tabs>
        <w:spacing w:before="0"/>
        <w:ind w:left="0" w:right="61" w:firstLine="0"/>
        <w:jc w:val="center"/>
        <w:rPr>
          <w:rFonts w:ascii="宋体" w:hAnsi="宋体" w:cs="宋体" w:eastAsia="宋体" w:hint="default"/>
          <w:sz w:val="21"/>
          <w:szCs w:val="21"/>
        </w:rPr>
      </w:pPr>
      <w:r>
        <w:rPr>
          <w:rFonts w:ascii="宋体" w:hAnsi="宋体" w:cs="宋体" w:eastAsia="宋体" w:hint="default"/>
          <w:b/>
          <w:bCs/>
          <w:sz w:val="21"/>
          <w:szCs w:val="21"/>
        </w:rPr>
        <w:t>第一节</w:t>
        <w:tab/>
        <w:t>概述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73" w:lineRule="auto" w:before="0"/>
        <w:ind w:left="153" w:right="46" w:firstLine="420"/>
        <w:jc w:val="left"/>
      </w:pPr>
      <w:r>
        <w:rPr>
          <w:spacing w:val="-4"/>
        </w:rPr>
        <w:t>一、报告期公司实现的营业收入同比增加</w:t>
      </w:r>
      <w:r>
        <w:rPr>
          <w:spacing w:val="-44"/>
        </w:rPr>
        <w:t> </w:t>
      </w:r>
      <w:r>
        <w:rPr/>
        <w:t>29,272.70</w:t>
      </w:r>
      <w:r>
        <w:rPr>
          <w:spacing w:val="-44"/>
        </w:rPr>
        <w:t> </w:t>
      </w:r>
      <w:r>
        <w:rPr>
          <w:spacing w:val="-8"/>
        </w:rPr>
        <w:t>万元，同比增幅</w:t>
      </w:r>
      <w:r>
        <w:rPr>
          <w:spacing w:val="-44"/>
        </w:rPr>
        <w:t> </w:t>
      </w:r>
      <w:r>
        <w:rPr>
          <w:spacing w:val="-6"/>
        </w:rPr>
        <w:t>16.13%，其中，15,358.54</w:t>
      </w:r>
      <w:r>
        <w:rPr>
          <w:w w:val="100"/>
        </w:rPr>
        <w:t> </w:t>
      </w:r>
      <w:r>
        <w:rPr>
          <w:spacing w:val="-2"/>
          <w:w w:val="100"/>
        </w:rPr>
        <w:t>万元来自通信网络维护业务同比增幅</w:t>
      </w:r>
      <w:r>
        <w:rPr>
          <w:spacing w:val="-70"/>
          <w:w w:val="100"/>
        </w:rPr>
        <w:t> </w:t>
      </w:r>
      <w:r>
        <w:rPr>
          <w:spacing w:val="-8"/>
          <w:w w:val="100"/>
        </w:rPr>
        <w:t>12.76%，1,874.66</w:t>
      </w:r>
      <w:r>
        <w:rPr>
          <w:spacing w:val="-70"/>
          <w:w w:val="100"/>
        </w:rPr>
        <w:t> </w:t>
      </w:r>
      <w:r>
        <w:rPr>
          <w:spacing w:val="-2"/>
          <w:w w:val="100"/>
        </w:rPr>
        <w:t>万元来自信息智能传输业务同比增幅</w:t>
      </w:r>
      <w:r>
        <w:rPr>
          <w:spacing w:val="-70"/>
          <w:w w:val="100"/>
        </w:rPr>
        <w:t> </w:t>
      </w:r>
      <w:r>
        <w:rPr>
          <w:spacing w:val="-1"/>
          <w:w w:val="100"/>
        </w:rPr>
        <w:t>3.61%，</w:t>
      </w:r>
      <w:r>
        <w:rPr>
          <w:spacing w:val="-100"/>
          <w:w w:val="100"/>
        </w:rPr>
        <w:t> </w:t>
      </w:r>
      <w:r>
        <w:rPr>
          <w:spacing w:val="-100"/>
          <w:w w:val="100"/>
        </w:rPr>
      </w:r>
      <w:r>
        <w:rPr/>
        <w:t>2,619.10 </w:t>
      </w:r>
      <w:r>
        <w:rPr>
          <w:spacing w:val="13"/>
        </w:rPr>
        <w:t>万元来自软件开发及应用同比增幅 </w:t>
      </w:r>
      <w:r>
        <w:rPr/>
        <w:t>36.72%，4,699.27 </w:t>
      </w:r>
      <w:r>
        <w:rPr>
          <w:spacing w:val="32"/>
        </w:rPr>
        <w:t> </w:t>
      </w:r>
      <w:r>
        <w:rPr>
          <w:spacing w:val="12"/>
        </w:rPr>
        <w:t>万元来自流量经营同比增幅</w:t>
      </w:r>
    </w:p>
    <w:p>
      <w:pPr>
        <w:pStyle w:val="BodyText"/>
        <w:spacing w:line="240" w:lineRule="auto" w:before="8"/>
        <w:ind w:left="153" w:right="46"/>
        <w:jc w:val="left"/>
      </w:pPr>
      <w:r>
        <w:rPr>
          <w:spacing w:val="-1"/>
        </w:rPr>
        <w:t>230.49%，4,696.05</w:t>
      </w:r>
      <w:r>
        <w:rPr>
          <w:spacing w:val="12"/>
        </w:rPr>
        <w:t> </w:t>
      </w:r>
      <w:r>
        <w:rPr>
          <w:spacing w:val="-2"/>
        </w:rPr>
        <w:t>万元来自报告期新开展的与通信网络维护相关的工程业务。</w:t>
      </w:r>
    </w:p>
    <w:p>
      <w:pPr>
        <w:spacing w:line="240" w:lineRule="auto" w:before="10"/>
        <w:rPr>
          <w:rFonts w:ascii="宋体" w:hAnsi="宋体" w:cs="宋体" w:eastAsia="宋体" w:hint="default"/>
          <w:sz w:val="14"/>
          <w:szCs w:val="14"/>
        </w:rPr>
      </w:pPr>
    </w:p>
    <w:p>
      <w:pPr>
        <w:pStyle w:val="BodyText"/>
        <w:spacing w:line="273" w:lineRule="auto" w:before="0"/>
        <w:ind w:left="153" w:right="212" w:firstLine="420"/>
        <w:jc w:val="both"/>
      </w:pPr>
      <w:r>
        <w:rPr>
          <w:spacing w:val="7"/>
        </w:rPr>
        <w:t>报告期公司主营业务信息智能传输和通信网络维护实现的营业收入合计占总营收的比例为</w:t>
      </w:r>
      <w:r>
        <w:rPr>
          <w:w w:val="100"/>
        </w:rPr>
        <w:t> </w:t>
      </w:r>
      <w:r>
        <w:rPr>
          <w:spacing w:val="-2"/>
        </w:rPr>
        <w:t>89.93%，其他业务实现营收占总营收的比例较小。软件开发及应用、流量经营、相关工程业务实现</w:t>
      </w:r>
      <w:r>
        <w:rPr>
          <w:spacing w:val="-40"/>
        </w:rPr>
        <w:t> </w:t>
      </w:r>
      <w:r>
        <w:rPr>
          <w:spacing w:val="-40"/>
        </w:rPr>
      </w:r>
      <w:r>
        <w:rPr/>
        <w:t>营收占总营收的比例分别为</w:t>
      </w:r>
      <w:r>
        <w:rPr>
          <w:spacing w:val="-56"/>
        </w:rPr>
        <w:t> </w:t>
      </w:r>
      <w:r>
        <w:rPr/>
        <w:t>4.63%、3.20%、2.23%。</w:t>
      </w:r>
    </w:p>
    <w:p>
      <w:pPr>
        <w:pStyle w:val="BodyText"/>
        <w:spacing w:line="273" w:lineRule="auto" w:before="164"/>
        <w:ind w:left="153" w:right="210" w:firstLine="420"/>
        <w:jc w:val="both"/>
      </w:pPr>
      <w:r>
        <w:rPr/>
        <w:t>二、报告期公司实现归属于上市公司股东的净利润(简称净利润)同比增幅</w:t>
      </w:r>
      <w:r>
        <w:rPr>
          <w:spacing w:val="-23"/>
        </w:rPr>
        <w:t> </w:t>
      </w:r>
      <w:r>
        <w:rPr/>
        <w:t>3.92%。若剔出不可</w:t>
      </w:r>
      <w:r>
        <w:rPr>
          <w:w w:val="100"/>
        </w:rPr>
        <w:t> </w:t>
      </w:r>
      <w:r>
        <w:rPr/>
        <w:t>比因素(2015</w:t>
      </w:r>
      <w:r>
        <w:rPr>
          <w:spacing w:val="-47"/>
        </w:rPr>
        <w:t> </w:t>
      </w:r>
      <w:r>
        <w:rPr>
          <w:spacing w:val="-6"/>
        </w:rPr>
        <w:t>年重大资产出售应收交易款、按约定于</w:t>
      </w:r>
      <w:r>
        <w:rPr>
          <w:spacing w:val="-47"/>
        </w:rPr>
        <w:t> </w:t>
      </w:r>
      <w:r>
        <w:rPr/>
        <w:t>2016</w:t>
      </w:r>
      <w:r>
        <w:rPr>
          <w:spacing w:val="-47"/>
        </w:rPr>
        <w:t> </w:t>
      </w:r>
      <w:r>
        <w:rPr/>
        <w:t>年收缴而转回的坏账准备增加上年同期净</w:t>
      </w:r>
      <w:r>
        <w:rPr>
          <w:spacing w:val="-102"/>
        </w:rPr>
        <w:t> </w:t>
      </w:r>
      <w:r>
        <w:rPr>
          <w:spacing w:val="-102"/>
        </w:rPr>
      </w:r>
      <w:r>
        <w:rPr/>
        <w:t>利润</w:t>
      </w:r>
      <w:r>
        <w:rPr>
          <w:spacing w:val="-34"/>
        </w:rPr>
        <w:t> </w:t>
      </w:r>
      <w:r>
        <w:rPr/>
        <w:t>2,636.02</w:t>
      </w:r>
      <w:r>
        <w:rPr>
          <w:spacing w:val="-37"/>
        </w:rPr>
        <w:t> </w:t>
      </w:r>
      <w:r>
        <w:rPr>
          <w:spacing w:val="-3"/>
        </w:rPr>
        <w:t>万元)，公司实现净利润同比增幅</w:t>
      </w:r>
      <w:r>
        <w:rPr>
          <w:spacing w:val="-34"/>
        </w:rPr>
        <w:t> </w:t>
      </w:r>
      <w:r>
        <w:rPr>
          <w:spacing w:val="-4"/>
        </w:rPr>
        <w:t>18.07%。净利润主要来自主业，辅业软件开发及应</w:t>
      </w:r>
      <w:r>
        <w:rPr>
          <w:spacing w:val="-96"/>
        </w:rPr>
        <w:t> </w:t>
      </w:r>
      <w:r>
        <w:rPr>
          <w:spacing w:val="-96"/>
        </w:rPr>
      </w:r>
      <w:r>
        <w:rPr>
          <w:spacing w:val="-2"/>
        </w:rPr>
        <w:t>用、相关工程业务有所补充。由于本期已没有上年同期转回的坏账准备，主业利润占比上升，报告</w:t>
      </w:r>
      <w:r>
        <w:rPr>
          <w:spacing w:val="-46"/>
        </w:rPr>
        <w:t> </w:t>
      </w:r>
      <w:r>
        <w:rPr>
          <w:spacing w:val="-46"/>
        </w:rPr>
      </w:r>
      <w:r>
        <w:rPr/>
        <w:t>期公司利润构成、来源发生的变化情况见本报告本章第二节的有关内容。</w:t>
      </w:r>
    </w:p>
    <w:p>
      <w:pPr>
        <w:pStyle w:val="BodyText"/>
        <w:spacing w:line="273" w:lineRule="auto" w:before="164"/>
        <w:ind w:left="153" w:right="213" w:firstLine="420"/>
        <w:jc w:val="both"/>
      </w:pPr>
      <w:r>
        <w:rPr>
          <w:spacing w:val="-2"/>
        </w:rPr>
        <w:t>三、报告期公司主业外部环境较好，行业积极推进网络强国战略，加强信息网络建设，加快发</w:t>
      </w:r>
      <w:r>
        <w:rPr>
          <w:w w:val="100"/>
        </w:rPr>
        <w:t> </w:t>
      </w:r>
      <w:r>
        <w:rPr/>
        <w:t>展移动互联网等新型业务，为国民经济和社会发展提供有利支撑。</w:t>
      </w:r>
    </w:p>
    <w:p>
      <w:pPr>
        <w:pStyle w:val="BodyText"/>
        <w:spacing w:line="273" w:lineRule="auto" w:before="8"/>
        <w:ind w:left="153" w:right="210" w:firstLine="420"/>
        <w:jc w:val="both"/>
      </w:pPr>
      <w:r>
        <w:rPr/>
        <w:t>(一)</w:t>
      </w:r>
      <w:r>
        <w:rPr>
          <w:spacing w:val="-3"/>
        </w:rPr>
        <w:t> </w:t>
      </w:r>
      <w:r>
        <w:rPr/>
        <w:t>据工信部网站</w:t>
      </w:r>
      <w:r>
        <w:rPr>
          <w:spacing w:val="-49"/>
        </w:rPr>
        <w:t> </w:t>
      </w:r>
      <w:r>
        <w:rPr/>
        <w:t>2017</w:t>
      </w:r>
      <w:r>
        <w:rPr>
          <w:spacing w:val="-49"/>
        </w:rPr>
        <w:t> </w:t>
      </w:r>
      <w:r>
        <w:rPr/>
        <w:t>年通信业统计公报，2017</w:t>
      </w:r>
      <w:r>
        <w:rPr>
          <w:spacing w:val="-49"/>
        </w:rPr>
        <w:t> </w:t>
      </w:r>
      <w:r>
        <w:rPr/>
        <w:t>年电信业务总量达到</w:t>
      </w:r>
      <w:r>
        <w:rPr>
          <w:spacing w:val="-46"/>
        </w:rPr>
        <w:t> </w:t>
      </w:r>
      <w:r>
        <w:rPr/>
        <w:t>27,557</w:t>
      </w:r>
      <w:r>
        <w:rPr>
          <w:spacing w:val="-46"/>
        </w:rPr>
        <w:t> </w:t>
      </w:r>
      <w:r>
        <w:rPr/>
        <w:t>亿元，同比增</w:t>
      </w:r>
      <w:r>
        <w:rPr>
          <w:w w:val="100"/>
        </w:rPr>
        <w:t> </w:t>
      </w:r>
      <w:r>
        <w:rPr/>
        <w:t>长</w:t>
      </w:r>
      <w:r>
        <w:rPr>
          <w:spacing w:val="-32"/>
        </w:rPr>
        <w:t> </w:t>
      </w:r>
      <w:r>
        <w:rPr>
          <w:spacing w:val="-4"/>
        </w:rPr>
        <w:t>76.4%，包括短信、上网、宽带等的非话音业务收入占比由上年的</w:t>
      </w:r>
      <w:r>
        <w:rPr>
          <w:spacing w:val="-32"/>
        </w:rPr>
        <w:t> </w:t>
      </w:r>
      <w:r>
        <w:rPr/>
        <w:t>75.2%提高至</w:t>
      </w:r>
      <w:r>
        <w:rPr>
          <w:spacing w:val="-32"/>
        </w:rPr>
        <w:t> </w:t>
      </w:r>
      <w:r>
        <w:rPr>
          <w:spacing w:val="-3"/>
        </w:rPr>
        <w:t>82.5%，移动通信</w:t>
      </w:r>
      <w:r>
        <w:rPr>
          <w:spacing w:val="-95"/>
        </w:rPr>
        <w:t> </w:t>
      </w:r>
      <w:r>
        <w:rPr>
          <w:spacing w:val="-95"/>
        </w:rPr>
      </w:r>
      <w:r>
        <w:rPr/>
        <w:t>业务收入占比继续处于高位</w:t>
      </w:r>
      <w:r>
        <w:rPr>
          <w:spacing w:val="-23"/>
        </w:rPr>
        <w:t> </w:t>
      </w:r>
      <w:r>
        <w:rPr/>
        <w:t>70%以上，移动电话普及率首次破百，公司信息智能传输业务具备较好</w:t>
      </w:r>
      <w:r>
        <w:rPr>
          <w:w w:val="100"/>
        </w:rPr>
        <w:t> </w:t>
      </w:r>
      <w:r>
        <w:rPr/>
        <w:t>的外部环境。根据工信部网站的有关统计数据见下图：</w:t>
      </w:r>
    </w:p>
    <w:p>
      <w:pPr>
        <w:pStyle w:val="BodyText"/>
        <w:spacing w:line="240" w:lineRule="auto" w:before="8"/>
        <w:ind w:right="46"/>
        <w:jc w:val="left"/>
      </w:pPr>
      <w:r>
        <w:rPr/>
        <w:t>1、</w:t>
      </w:r>
      <w:r>
        <w:rPr>
          <w:color w:val="070707"/>
        </w:rPr>
        <w:t>2010-2017</w:t>
      </w:r>
      <w:r>
        <w:rPr>
          <w:color w:val="070707"/>
          <w:spacing w:val="-58"/>
        </w:rPr>
        <w:t> </w:t>
      </w:r>
      <w:r>
        <w:rPr>
          <w:color w:val="070707"/>
        </w:rPr>
        <w:t>年电信话音业务和非话音业务收入占比图</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1977" w:lineRule="exact"/>
        <w:ind w:left="158"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5724143" cy="125577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1" cstate="print"/>
                    <a:stretch>
                      <a:fillRect/>
                    </a:stretch>
                  </pic:blipFill>
                  <pic:spPr>
                    <a:xfrm>
                      <a:off x="0" y="0"/>
                      <a:ext cx="5724143" cy="1255776"/>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1"/>
        <w:rPr>
          <w:rFonts w:ascii="宋体" w:hAnsi="宋体" w:cs="宋体" w:eastAsia="宋体" w:hint="default"/>
          <w:sz w:val="28"/>
          <w:szCs w:val="28"/>
        </w:rPr>
      </w:pPr>
    </w:p>
    <w:p>
      <w:pPr>
        <w:pStyle w:val="BodyText"/>
        <w:spacing w:line="240" w:lineRule="auto" w:before="36"/>
        <w:ind w:right="46"/>
        <w:jc w:val="left"/>
      </w:pPr>
      <w:r>
        <w:rPr>
          <w:color w:val="070707"/>
        </w:rPr>
        <w:t>2、2010-2017</w:t>
      </w:r>
      <w:r>
        <w:rPr>
          <w:color w:val="070707"/>
          <w:spacing w:val="-56"/>
        </w:rPr>
        <w:t> </w:t>
      </w:r>
      <w:r>
        <w:rPr>
          <w:color w:val="070707"/>
        </w:rPr>
        <w:t>年移动通信业务和固定通信业务收入占比图</w:t>
      </w:r>
      <w:r>
        <w:rPr/>
      </w:r>
    </w:p>
    <w:p>
      <w:pPr>
        <w:spacing w:line="240" w:lineRule="auto" w:before="8"/>
        <w:rPr>
          <w:rFonts w:ascii="宋体" w:hAnsi="宋体" w:cs="宋体" w:eastAsia="宋体" w:hint="default"/>
          <w:sz w:val="10"/>
          <w:szCs w:val="10"/>
        </w:rPr>
      </w:pPr>
    </w:p>
    <w:p>
      <w:pPr>
        <w:spacing w:line="2016" w:lineRule="exact"/>
        <w:ind w:left="158"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5724144" cy="128016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2" cstate="print"/>
                    <a:stretch>
                      <a:fillRect/>
                    </a:stretch>
                  </pic:blipFill>
                  <pic:spPr>
                    <a:xfrm>
                      <a:off x="0" y="0"/>
                      <a:ext cx="5724144" cy="1280160"/>
                    </a:xfrm>
                    <a:prstGeom prst="rect">
                      <a:avLst/>
                    </a:prstGeom>
                  </pic:spPr>
                </pic:pic>
              </a:graphicData>
            </a:graphic>
          </wp:inline>
        </w:drawing>
      </w:r>
      <w:r>
        <w:rPr>
          <w:rFonts w:ascii="宋体" w:hAnsi="宋体" w:cs="宋体" w:eastAsia="宋体" w:hint="default"/>
          <w:position w:val="-39"/>
          <w:sz w:val="20"/>
          <w:szCs w:val="20"/>
        </w:rPr>
      </w:r>
    </w:p>
    <w:p>
      <w:pPr>
        <w:spacing w:after="0" w:line="2016" w:lineRule="exact"/>
        <w:rPr>
          <w:rFonts w:ascii="宋体" w:hAnsi="宋体" w:cs="宋体" w:eastAsia="宋体" w:hint="default"/>
          <w:sz w:val="20"/>
          <w:szCs w:val="20"/>
        </w:rPr>
        <w:sectPr>
          <w:pgSz w:w="11910" w:h="16840"/>
          <w:pgMar w:header="884" w:footer="1000" w:top="1140" w:bottom="1200" w:left="132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auto" w:before="0"/>
        <w:ind w:left="153" w:right="153" w:firstLine="420"/>
        <w:jc w:val="both"/>
      </w:pPr>
      <w:r>
        <w:rPr/>
        <w:t>(二)</w:t>
      </w:r>
      <w:r>
        <w:rPr>
          <w:spacing w:val="-1"/>
        </w:rPr>
        <w:t> </w:t>
      </w:r>
      <w:r>
        <w:rPr/>
        <w:t>据工信部网站</w:t>
      </w:r>
      <w:r>
        <w:rPr>
          <w:spacing w:val="-55"/>
        </w:rPr>
        <w:t> </w:t>
      </w:r>
      <w:r>
        <w:rPr/>
        <w:t>2017</w:t>
      </w:r>
      <w:r>
        <w:rPr>
          <w:spacing w:val="-55"/>
        </w:rPr>
        <w:t> </w:t>
      </w:r>
      <w:r>
        <w:rPr/>
        <w:t>年通信业统计公报，受</w:t>
      </w:r>
      <w:r>
        <w:rPr>
          <w:color w:val="070707"/>
        </w:rPr>
        <w:t>移动用户主动发起的点对点短信量下降</w:t>
      </w:r>
      <w:r>
        <w:rPr/>
        <w:t>影响，</w:t>
      </w:r>
      <w:r>
        <w:rPr>
          <w:w w:val="100"/>
        </w:rPr>
        <w:t> </w:t>
      </w:r>
      <w:r>
        <w:rPr/>
        <w:t>2017</w:t>
      </w:r>
      <w:r>
        <w:rPr>
          <w:spacing w:val="-31"/>
        </w:rPr>
        <w:t> </w:t>
      </w:r>
      <w:r>
        <w:rPr/>
        <w:t>年全国移动短信业务量</w:t>
      </w:r>
      <w:r>
        <w:rPr>
          <w:spacing w:val="-31"/>
        </w:rPr>
        <w:t> </w:t>
      </w:r>
      <w:r>
        <w:rPr/>
        <w:t>6,644</w:t>
      </w:r>
      <w:r>
        <w:rPr>
          <w:spacing w:val="-33"/>
        </w:rPr>
        <w:t> </w:t>
      </w:r>
      <w:r>
        <w:rPr/>
        <w:t>亿条，同比下降</w:t>
      </w:r>
      <w:r>
        <w:rPr>
          <w:spacing w:val="-34"/>
        </w:rPr>
        <w:t> </w:t>
      </w:r>
      <w:r>
        <w:rPr/>
        <w:t>0.4%。</w:t>
      </w:r>
      <w:r>
        <w:rPr>
          <w:color w:val="070707"/>
        </w:rPr>
      </w:r>
      <w:r>
        <w:rPr>
          <w:color w:val="070707"/>
          <w:shd w:fill="F9F9F9" w:color="auto" w:val="clear"/>
        </w:rPr>
        <w:t>其中，由移动用户主动发起的点对点短</w:t>
      </w:r>
      <w:r>
        <w:rPr>
          <w:color w:val="070707"/>
          <w:w w:val="100"/>
        </w:rPr>
      </w:r>
      <w:r>
        <w:rPr>
          <w:color w:val="070707"/>
          <w:w w:val="100"/>
        </w:rPr>
        <w:t> </w:t>
      </w:r>
      <w:r>
        <w:rPr>
          <w:color w:val="070707"/>
          <w:shd w:fill="F9F9F9" w:color="auto" w:val="clear"/>
        </w:rPr>
        <w:t>信量比上年减少</w:t>
      </w:r>
      <w:r>
        <w:rPr>
          <w:color w:val="070707"/>
          <w:spacing w:val="-47"/>
          <w:shd w:fill="F9F9F9" w:color="auto" w:val="clear"/>
        </w:rPr>
        <w:t> </w:t>
      </w:r>
      <w:r>
        <w:rPr>
          <w:color w:val="070707"/>
          <w:shd w:fill="F9F9F9" w:color="auto" w:val="clear"/>
        </w:rPr>
        <w:t>30.2%，占移动短信业务量比重由上年的</w:t>
      </w:r>
      <w:r>
        <w:rPr>
          <w:color w:val="070707"/>
          <w:spacing w:val="-48"/>
          <w:shd w:fill="F9F9F9" w:color="auto" w:val="clear"/>
        </w:rPr>
        <w:t> </w:t>
      </w:r>
      <w:r>
        <w:rPr>
          <w:color w:val="070707"/>
          <w:shd w:fill="F9F9F9" w:color="auto" w:val="clear"/>
        </w:rPr>
        <w:t>28.5%降至</w:t>
      </w:r>
      <w:r>
        <w:rPr>
          <w:color w:val="070707"/>
          <w:spacing w:val="-47"/>
          <w:shd w:fill="F9F9F9" w:color="auto" w:val="clear"/>
        </w:rPr>
        <w:t> </w:t>
      </w:r>
      <w:r>
        <w:rPr>
          <w:color w:val="070707"/>
          <w:shd w:fill="F9F9F9" w:color="auto" w:val="clear"/>
        </w:rPr>
        <w:t>19.9%。这</w:t>
      </w:r>
      <w:r>
        <w:rPr>
          <w:color w:val="070707"/>
        </w:rPr>
      </w:r>
      <w:r>
        <w:rPr/>
        <w:t>是自</w:t>
      </w:r>
      <w:r>
        <w:rPr>
          <w:spacing w:val="-48"/>
        </w:rPr>
        <w:t> </w:t>
      </w:r>
      <w:r>
        <w:rPr/>
        <w:t>2013</w:t>
      </w:r>
      <w:r>
        <w:rPr>
          <w:spacing w:val="-47"/>
        </w:rPr>
        <w:t> </w:t>
      </w:r>
      <w:r>
        <w:rPr/>
        <w:t>年以来连</w:t>
      </w:r>
      <w:r>
        <w:rPr>
          <w:w w:val="100"/>
        </w:rPr>
        <w:t> </w:t>
      </w:r>
      <w:r>
        <w:rPr/>
        <w:t>续五年下降，降幅同比分别为</w:t>
      </w:r>
      <w:r>
        <w:rPr>
          <w:spacing w:val="-22"/>
        </w:rPr>
        <w:t> </w:t>
      </w:r>
      <w:r>
        <w:rPr/>
        <w:t>0.6%、14.0%、8.9%、4.6%、0.4%，但是五年里降幅最小的，说明全</w:t>
      </w:r>
      <w:r>
        <w:rPr>
          <w:w w:val="100"/>
        </w:rPr>
        <w:t> </w:t>
      </w:r>
      <w:r>
        <w:rPr>
          <w:spacing w:val="-2"/>
        </w:rPr>
        <w:t>国移动短信业务量与</w:t>
      </w:r>
      <w:r>
        <w:rPr>
          <w:color w:val="070707"/>
          <w:spacing w:val="-2"/>
        </w:rPr>
        <w:t>移动用户主动发起的</w:t>
      </w:r>
      <w:r>
        <w:rPr>
          <w:spacing w:val="-2"/>
        </w:rPr>
        <w:t>点对点短信量之差进一步扩大，企事业单位与个人之间的</w:t>
      </w:r>
      <w:r>
        <w:rPr>
          <w:spacing w:val="-43"/>
        </w:rPr>
        <w:t> </w:t>
      </w:r>
      <w:r>
        <w:rPr>
          <w:spacing w:val="-43"/>
        </w:rPr>
      </w:r>
      <w:r>
        <w:rPr>
          <w:spacing w:val="-2"/>
        </w:rPr>
        <w:t>具有真实需求的短信量仍在逐年持续上升。由于保密性和法律法规对欺诈、垃圾信息的打击，企事</w:t>
      </w:r>
      <w:r>
        <w:rPr>
          <w:spacing w:val="-46"/>
        </w:rPr>
        <w:t> </w:t>
      </w:r>
      <w:r>
        <w:rPr>
          <w:spacing w:val="-46"/>
        </w:rPr>
      </w:r>
      <w:r>
        <w:rPr>
          <w:spacing w:val="-2"/>
        </w:rPr>
        <w:t>业单位与个人之间具有真实需求的信息传递仍将采用短信方式，公司信息传输业务将保持着市场需</w:t>
      </w:r>
      <w:r>
        <w:rPr>
          <w:spacing w:val="-42"/>
        </w:rPr>
        <w:t> </w:t>
      </w:r>
      <w:r>
        <w:rPr>
          <w:spacing w:val="-42"/>
        </w:rPr>
      </w:r>
      <w:r>
        <w:rPr/>
        <w:t>求空间。</w:t>
      </w:r>
    </w:p>
    <w:p>
      <w:pPr>
        <w:pStyle w:val="BodyText"/>
        <w:spacing w:line="273" w:lineRule="auto" w:before="8"/>
        <w:ind w:left="153" w:right="170" w:firstLine="420"/>
        <w:jc w:val="both"/>
      </w:pPr>
      <w:r>
        <w:rPr>
          <w:spacing w:val="-2"/>
        </w:rPr>
        <w:t>报告期创世漫道运用数据驱动、流式计算、大数据、人工智能等核心技术，重塑以数据驱动为</w:t>
      </w:r>
      <w:r>
        <w:rPr>
          <w:w w:val="100"/>
        </w:rPr>
        <w:t> </w:t>
      </w:r>
      <w:r>
        <w:rPr>
          <w:spacing w:val="-2"/>
        </w:rPr>
        <w:t>核心的业务处理平台，使之成为：以数据驱动为核心设计理念的信息推送平台、以大数据为基础的</w:t>
      </w:r>
      <w:r>
        <w:rPr>
          <w:spacing w:val="-46"/>
        </w:rPr>
        <w:t> </w:t>
      </w:r>
      <w:r>
        <w:rPr>
          <w:spacing w:val="-46"/>
        </w:rPr>
      </w:r>
      <w:r>
        <w:rPr>
          <w:spacing w:val="-2"/>
        </w:rPr>
        <w:t>用户画像和标签系统、精准营销信息推送平台、智能业务及运营和自动化运维平台，为提高服务质</w:t>
      </w:r>
      <w:r>
        <w:rPr>
          <w:spacing w:val="-46"/>
        </w:rPr>
        <w:t> </w:t>
      </w:r>
      <w:r>
        <w:rPr>
          <w:spacing w:val="-46"/>
        </w:rPr>
      </w:r>
      <w:r>
        <w:rPr>
          <w:spacing w:val="-2"/>
        </w:rPr>
        <w:t>量、满足客户多样化需求、控制投诉风险能力、吸引原有客户增加业务、引进新客户、保障信息传</w:t>
      </w:r>
      <w:r>
        <w:rPr>
          <w:spacing w:val="-47"/>
        </w:rPr>
        <w:t> </w:t>
      </w:r>
      <w:r>
        <w:rPr>
          <w:spacing w:val="-47"/>
        </w:rPr>
      </w:r>
      <w:r>
        <w:rPr/>
        <w:t>输业务增长奠定了基础。报告期发送短信数量同比增加 60</w:t>
      </w:r>
      <w:r>
        <w:rPr>
          <w:spacing w:val="-23"/>
        </w:rPr>
        <w:t> </w:t>
      </w:r>
      <w:r>
        <w:rPr/>
        <w:t>余亿条，短信中触发类(验证、提醒)短</w:t>
      </w:r>
      <w:r>
        <w:rPr>
          <w:w w:val="100"/>
        </w:rPr>
        <w:t> </w:t>
      </w:r>
      <w:r>
        <w:rPr/>
        <w:t>信占比 60%，有真实需求(行业通知、市场信息)短信占比</w:t>
      </w:r>
      <w:r>
        <w:rPr>
          <w:spacing w:val="-25"/>
        </w:rPr>
        <w:t> </w:t>
      </w:r>
      <w:r>
        <w:rPr/>
        <w:t>40%，有真实需求短信业务发展的更快，</w:t>
      </w:r>
      <w:r>
        <w:rPr>
          <w:w w:val="100"/>
        </w:rPr>
        <w:t> </w:t>
      </w:r>
      <w:r>
        <w:rPr/>
        <w:t>为未来短信发送业务增长、公司营业收入增加创造了条件。</w:t>
      </w:r>
    </w:p>
    <w:p>
      <w:pPr>
        <w:pStyle w:val="BodyText"/>
        <w:spacing w:line="273" w:lineRule="auto" w:before="101"/>
        <w:ind w:left="153" w:right="173" w:firstLine="420"/>
        <w:jc w:val="both"/>
      </w:pPr>
      <w:r>
        <w:rPr/>
        <w:t>(三)</w:t>
      </w:r>
      <w:r>
        <w:rPr>
          <w:spacing w:val="-1"/>
        </w:rPr>
        <w:t> </w:t>
      </w:r>
      <w:r>
        <w:rPr/>
        <w:t>据工信部网站</w:t>
      </w:r>
      <w:r>
        <w:rPr>
          <w:spacing w:val="-48"/>
        </w:rPr>
        <w:t> </w:t>
      </w:r>
      <w:r>
        <w:rPr/>
        <w:t>2017</w:t>
      </w:r>
      <w:r>
        <w:rPr>
          <w:spacing w:val="-48"/>
        </w:rPr>
        <w:t> </w:t>
      </w:r>
      <w:r>
        <w:rPr/>
        <w:t>年通信业统计公报，2017</w:t>
      </w:r>
      <w:r>
        <w:rPr>
          <w:spacing w:val="-48"/>
        </w:rPr>
        <w:t> </w:t>
      </w:r>
      <w:r>
        <w:rPr/>
        <w:t>年，互联网宽带接入端口数量达到</w:t>
      </w:r>
      <w:r>
        <w:rPr>
          <w:spacing w:val="-46"/>
        </w:rPr>
        <w:t> </w:t>
      </w:r>
      <w:r>
        <w:rPr/>
        <w:t>7.79</w:t>
      </w:r>
      <w:r>
        <w:rPr>
          <w:spacing w:val="-48"/>
        </w:rPr>
        <w:t> </w:t>
      </w:r>
      <w:r>
        <w:rPr/>
        <w:t>亿</w:t>
      </w:r>
      <w:r>
        <w:rPr>
          <w:w w:val="100"/>
        </w:rPr>
        <w:t> </w:t>
      </w:r>
      <w:r>
        <w:rPr/>
        <w:t>个，比上年净增</w:t>
      </w:r>
      <w:r>
        <w:rPr>
          <w:spacing w:val="-42"/>
        </w:rPr>
        <w:t> </w:t>
      </w:r>
      <w:r>
        <w:rPr/>
        <w:t>0.66</w:t>
      </w:r>
      <w:r>
        <w:rPr>
          <w:spacing w:val="-44"/>
        </w:rPr>
        <w:t> </w:t>
      </w:r>
      <w:r>
        <w:rPr/>
        <w:t>亿个。全国净</w:t>
      </w:r>
      <w:r>
        <w:rPr>
          <w:color w:val="070707"/>
        </w:rPr>
        <w:t>增移动通信基站</w:t>
      </w:r>
      <w:r>
        <w:rPr>
          <w:color w:val="070707"/>
          <w:spacing w:val="-44"/>
        </w:rPr>
        <w:t> </w:t>
      </w:r>
      <w:r>
        <w:rPr>
          <w:color w:val="070707"/>
        </w:rPr>
        <w:t>59.3</w:t>
      </w:r>
      <w:r>
        <w:rPr>
          <w:color w:val="070707"/>
          <w:spacing w:val="-44"/>
        </w:rPr>
        <w:t> </w:t>
      </w:r>
      <w:r>
        <w:rPr>
          <w:color w:val="070707"/>
        </w:rPr>
        <w:t>万个，总数达</w:t>
      </w:r>
      <w:r>
        <w:rPr>
          <w:color w:val="070707"/>
          <w:spacing w:val="-42"/>
        </w:rPr>
        <w:t> </w:t>
      </w:r>
      <w:r>
        <w:rPr>
          <w:color w:val="070707"/>
        </w:rPr>
        <w:t>619</w:t>
      </w:r>
      <w:r>
        <w:rPr>
          <w:color w:val="070707"/>
          <w:spacing w:val="-44"/>
        </w:rPr>
        <w:t> </w:t>
      </w:r>
      <w:r>
        <w:rPr>
          <w:color w:val="070707"/>
        </w:rPr>
        <w:t>万个，其中</w:t>
      </w:r>
      <w:r>
        <w:rPr>
          <w:color w:val="070707"/>
          <w:spacing w:val="-44"/>
        </w:rPr>
        <w:t> </w:t>
      </w:r>
      <w:r>
        <w:rPr>
          <w:color w:val="070707"/>
        </w:rPr>
        <w:t>4G</w:t>
      </w:r>
      <w:r>
        <w:rPr>
          <w:color w:val="070707"/>
          <w:spacing w:val="-44"/>
        </w:rPr>
        <w:t> </w:t>
      </w:r>
      <w:r>
        <w:rPr>
          <w:color w:val="070707"/>
        </w:rPr>
        <w:t>基站净</w:t>
      </w:r>
      <w:r>
        <w:rPr/>
      </w:r>
    </w:p>
    <w:p>
      <w:pPr>
        <w:pStyle w:val="BodyText"/>
        <w:spacing w:line="273" w:lineRule="auto"/>
        <w:ind w:left="153" w:right="172"/>
        <w:jc w:val="both"/>
      </w:pPr>
      <w:r>
        <w:rPr>
          <w:color w:val="070707"/>
        </w:rPr>
        <w:t>增</w:t>
      </w:r>
      <w:r>
        <w:rPr>
          <w:color w:val="070707"/>
          <w:spacing w:val="-43"/>
        </w:rPr>
        <w:t> </w:t>
      </w:r>
      <w:r>
        <w:rPr>
          <w:color w:val="070707"/>
        </w:rPr>
        <w:t>65.2</w:t>
      </w:r>
      <w:r>
        <w:rPr>
          <w:color w:val="070707"/>
          <w:spacing w:val="-45"/>
        </w:rPr>
        <w:t> </w:t>
      </w:r>
      <w:r>
        <w:rPr>
          <w:color w:val="070707"/>
        </w:rPr>
        <w:t>万个，总数达</w:t>
      </w:r>
      <w:r>
        <w:rPr>
          <w:color w:val="070707"/>
          <w:spacing w:val="-43"/>
        </w:rPr>
        <w:t> </w:t>
      </w:r>
      <w:r>
        <w:rPr>
          <w:color w:val="070707"/>
        </w:rPr>
        <w:t>328</w:t>
      </w:r>
      <w:r>
        <w:rPr>
          <w:color w:val="070707"/>
          <w:spacing w:val="-43"/>
        </w:rPr>
        <w:t> </w:t>
      </w:r>
      <w:r>
        <w:rPr>
          <w:color w:val="070707"/>
        </w:rPr>
        <w:t>万个；</w:t>
      </w:r>
      <w:r>
        <w:rPr/>
        <w:t>全国新建光缆线路</w:t>
      </w:r>
      <w:r>
        <w:rPr>
          <w:spacing w:val="-43"/>
        </w:rPr>
        <w:t> </w:t>
      </w:r>
      <w:r>
        <w:rPr/>
        <w:t>705</w:t>
      </w:r>
      <w:r>
        <w:rPr>
          <w:spacing w:val="-45"/>
        </w:rPr>
        <w:t> </w:t>
      </w:r>
      <w:r>
        <w:rPr/>
        <w:t>万公里，光缆线路总长度</w:t>
      </w:r>
      <w:r>
        <w:rPr>
          <w:spacing w:val="-43"/>
        </w:rPr>
        <w:t> </w:t>
      </w:r>
      <w:r>
        <w:rPr/>
        <w:t>3,747</w:t>
      </w:r>
      <w:r>
        <w:rPr>
          <w:spacing w:val="-43"/>
        </w:rPr>
        <w:t> </w:t>
      </w:r>
      <w:r>
        <w:rPr/>
        <w:t>万公里，</w:t>
      </w:r>
      <w:r>
        <w:rPr>
          <w:w w:val="100"/>
        </w:rPr>
        <w:t> </w:t>
      </w:r>
      <w:r>
        <w:rPr>
          <w:spacing w:val="-2"/>
        </w:rPr>
        <w:t>均在持续上升之中，公司通信网络维护业务具备较好的外部环境。根据工信部网站的有关统计数据</w:t>
      </w:r>
      <w:r>
        <w:rPr>
          <w:spacing w:val="-47"/>
        </w:rPr>
        <w:t> </w:t>
      </w:r>
      <w:r>
        <w:rPr>
          <w:spacing w:val="-47"/>
        </w:rPr>
      </w:r>
      <w:r>
        <w:rPr/>
        <w:t>见下图：</w:t>
      </w:r>
    </w:p>
    <w:p>
      <w:pPr>
        <w:pStyle w:val="BodyText"/>
        <w:spacing w:line="240" w:lineRule="auto"/>
        <w:ind w:right="168"/>
        <w:jc w:val="left"/>
      </w:pPr>
      <w:r>
        <w:rPr/>
        <w:t>1、</w:t>
      </w:r>
      <w:r>
        <w:rPr>
          <w:color w:val="070707"/>
        </w:rPr>
        <w:t>2010-2017</w:t>
      </w:r>
      <w:r>
        <w:rPr>
          <w:color w:val="070707"/>
          <w:spacing w:val="-58"/>
        </w:rPr>
        <w:t> </w:t>
      </w:r>
      <w:r>
        <w:rPr>
          <w:color w:val="070707"/>
        </w:rPr>
        <w:t>年互联网宽带接入端口增长图</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1929" w:lineRule="exact"/>
        <w:ind w:left="158"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711951" cy="122529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3" cstate="print"/>
                    <a:stretch>
                      <a:fillRect/>
                    </a:stretch>
                  </pic:blipFill>
                  <pic:spPr>
                    <a:xfrm>
                      <a:off x="0" y="0"/>
                      <a:ext cx="5711951" cy="1225296"/>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4"/>
        <w:rPr>
          <w:rFonts w:ascii="宋体" w:hAnsi="宋体" w:cs="宋体" w:eastAsia="宋体" w:hint="default"/>
          <w:sz w:val="29"/>
          <w:szCs w:val="29"/>
        </w:rPr>
      </w:pPr>
    </w:p>
    <w:p>
      <w:pPr>
        <w:pStyle w:val="BodyText"/>
        <w:spacing w:line="240" w:lineRule="auto" w:before="36"/>
        <w:ind w:right="168"/>
        <w:jc w:val="left"/>
      </w:pPr>
      <w:r>
        <w:rPr>
          <w:color w:val="070707"/>
        </w:rPr>
        <w:t>2、2010-2017</w:t>
      </w:r>
      <w:r>
        <w:rPr>
          <w:color w:val="070707"/>
          <w:spacing w:val="-56"/>
        </w:rPr>
        <w:t> </w:t>
      </w:r>
      <w:r>
        <w:rPr>
          <w:color w:val="070707"/>
        </w:rPr>
        <w:t>年光缆线路总长度增长图：</w:t>
      </w:r>
      <w:r>
        <w:rPr/>
      </w:r>
    </w:p>
    <w:p>
      <w:pPr>
        <w:spacing w:line="240" w:lineRule="auto" w:before="12"/>
        <w:rPr>
          <w:rFonts w:ascii="宋体" w:hAnsi="宋体" w:cs="宋体" w:eastAsia="宋体" w:hint="default"/>
          <w:sz w:val="4"/>
          <w:szCs w:val="4"/>
        </w:rPr>
      </w:pPr>
    </w:p>
    <w:p>
      <w:pPr>
        <w:spacing w:line="1852" w:lineRule="exact"/>
        <w:ind w:left="158"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5711951" cy="1176527"/>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4" cstate="print"/>
                    <a:stretch>
                      <a:fillRect/>
                    </a:stretch>
                  </pic:blipFill>
                  <pic:spPr>
                    <a:xfrm>
                      <a:off x="0" y="0"/>
                      <a:ext cx="5711951" cy="1176527"/>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4"/>
        <w:rPr>
          <w:rFonts w:ascii="宋体" w:hAnsi="宋体" w:cs="宋体" w:eastAsia="宋体" w:hint="default"/>
          <w:sz w:val="23"/>
          <w:szCs w:val="23"/>
        </w:rPr>
      </w:pPr>
    </w:p>
    <w:p>
      <w:pPr>
        <w:pStyle w:val="BodyText"/>
        <w:spacing w:line="273" w:lineRule="auto" w:before="0"/>
        <w:ind w:left="153" w:right="168" w:firstLine="420"/>
        <w:jc w:val="left"/>
      </w:pPr>
      <w:r>
        <w:rPr/>
        <w:t>(四) </w:t>
      </w:r>
      <w:r>
        <w:rPr>
          <w:spacing w:val="-3"/>
        </w:rPr>
        <w:t>报告期长实通信凭借多项专业甲级资质，发挥自身核心竞争优势，业务已覆盖国内 </w:t>
      </w:r>
      <w:r>
        <w:rPr/>
        <w:t>25</w:t>
      </w:r>
      <w:r>
        <w:rPr>
          <w:spacing w:val="-34"/>
        </w:rPr>
        <w:t> </w:t>
      </w:r>
      <w:r>
        <w:rPr/>
        <w:t>个</w:t>
      </w:r>
      <w:r>
        <w:rPr>
          <w:w w:val="100"/>
        </w:rPr>
        <w:t> </w:t>
      </w:r>
      <w:r>
        <w:rPr/>
        <w:t>省区，较上年新进入山西、陕西、湖南、新疆、黑龙江、澳门，其中已覆盖铁塔公司 18</w:t>
      </w:r>
      <w:r>
        <w:rPr>
          <w:spacing w:val="-26"/>
        </w:rPr>
        <w:t> </w:t>
      </w:r>
      <w:r>
        <w:rPr/>
        <w:t>个省的业</w:t>
      </w:r>
    </w:p>
    <w:p>
      <w:pPr>
        <w:pStyle w:val="BodyText"/>
        <w:spacing w:line="273" w:lineRule="auto"/>
        <w:ind w:left="153" w:right="101"/>
        <w:jc w:val="left"/>
      </w:pPr>
      <w:r>
        <w:rPr>
          <w:spacing w:val="-8"/>
        </w:rPr>
        <w:t>务范围，保证了报告期营收和盈利的增长。同时，报告期长实通信中标合同</w:t>
      </w:r>
      <w:r>
        <w:rPr>
          <w:spacing w:val="-41"/>
        </w:rPr>
        <w:t> </w:t>
      </w:r>
      <w:r>
        <w:rPr/>
        <w:t>105</w:t>
      </w:r>
      <w:r>
        <w:rPr>
          <w:spacing w:val="-43"/>
        </w:rPr>
        <w:t> </w:t>
      </w:r>
      <w:r>
        <w:rPr>
          <w:spacing w:val="-12"/>
        </w:rPr>
        <w:t>份，金额上限在</w:t>
      </w:r>
      <w:r>
        <w:rPr>
          <w:spacing w:val="-41"/>
        </w:rPr>
        <w:t> </w:t>
      </w:r>
      <w:r>
        <w:rPr/>
        <w:t>0.13</w:t>
      </w:r>
      <w:r>
        <w:rPr>
          <w:spacing w:val="-83"/>
        </w:rPr>
        <w:t> </w:t>
      </w:r>
      <w:r>
        <w:rPr>
          <w:spacing w:val="-83"/>
        </w:rPr>
      </w:r>
      <w:r>
        <w:rPr/>
        <w:t>万元—55,494</w:t>
      </w:r>
      <w:r>
        <w:rPr>
          <w:spacing w:val="-55"/>
        </w:rPr>
        <w:t> </w:t>
      </w:r>
      <w:r>
        <w:rPr/>
        <w:t>万元，累计金额上限</w:t>
      </w:r>
      <w:r>
        <w:rPr>
          <w:spacing w:val="-53"/>
        </w:rPr>
        <w:t> </w:t>
      </w:r>
      <w:r>
        <w:rPr/>
        <w:t>250,383</w:t>
      </w:r>
      <w:r>
        <w:rPr>
          <w:spacing w:val="-53"/>
        </w:rPr>
        <w:t> </w:t>
      </w:r>
      <w:r>
        <w:rPr/>
        <w:t>万元，期间</w:t>
      </w:r>
      <w:r>
        <w:rPr>
          <w:spacing w:val="-53"/>
        </w:rPr>
        <w:t> </w:t>
      </w:r>
      <w:r>
        <w:rPr/>
        <w:t>2018</w:t>
      </w:r>
      <w:r>
        <w:rPr>
          <w:spacing w:val="-55"/>
        </w:rPr>
        <w:t> </w:t>
      </w:r>
      <w:r>
        <w:rPr/>
        <w:t>年至</w:t>
      </w:r>
      <w:r>
        <w:rPr>
          <w:spacing w:val="-55"/>
        </w:rPr>
        <w:t> </w:t>
      </w:r>
      <w:r>
        <w:rPr/>
        <w:t>2021</w:t>
      </w:r>
      <w:r>
        <w:rPr>
          <w:spacing w:val="-55"/>
        </w:rPr>
        <w:t> </w:t>
      </w:r>
      <w:r>
        <w:rPr/>
        <w:t>年，为公司未来营收增长、</w:t>
      </w:r>
      <w:r>
        <w:rPr>
          <w:w w:val="100"/>
        </w:rPr>
        <w:t> </w:t>
      </w:r>
      <w:r>
        <w:rPr/>
        <w:t>业绩稳定奠定了基础。</w:t>
      </w:r>
    </w:p>
    <w:p>
      <w:pPr>
        <w:pStyle w:val="BodyText"/>
        <w:spacing w:line="240" w:lineRule="auto" w:before="164"/>
        <w:ind w:right="101"/>
        <w:jc w:val="left"/>
      </w:pPr>
      <w:r>
        <w:rPr/>
        <w:t>四、报告期公司开始重大资产重组，拟分别向刘英魁、嘉语春华、嘉惠秋实发行股份及支付现</w:t>
      </w:r>
    </w:p>
    <w:p>
      <w:pPr>
        <w:spacing w:after="0" w:line="240" w:lineRule="auto"/>
        <w:jc w:val="left"/>
        <w:sectPr>
          <w:pgSz w:w="11910" w:h="16840"/>
          <w:pgMar w:header="884" w:footer="1000" w:top="1140" w:bottom="1200" w:left="1320" w:right="1240"/>
        </w:sectPr>
      </w:pPr>
    </w:p>
    <w:p>
      <w:pPr>
        <w:pStyle w:val="BodyText"/>
        <w:spacing w:line="273" w:lineRule="auto" w:before="131"/>
        <w:ind w:left="153" w:right="130"/>
        <w:jc w:val="both"/>
      </w:pPr>
      <w:r>
        <w:rPr/>
        <w:t>金购买其合计持有的嘉华信息</w:t>
      </w:r>
      <w:r>
        <w:rPr>
          <w:spacing w:val="-44"/>
        </w:rPr>
        <w:t> </w:t>
      </w:r>
      <w:r>
        <w:rPr/>
        <w:t>100%股权(作价合计</w:t>
      </w:r>
      <w:r>
        <w:rPr>
          <w:spacing w:val="-46"/>
        </w:rPr>
        <w:t> </w:t>
      </w:r>
      <w:r>
        <w:rPr/>
        <w:t>148,000</w:t>
      </w:r>
      <w:r>
        <w:rPr>
          <w:spacing w:val="-44"/>
        </w:rPr>
        <w:t> </w:t>
      </w:r>
      <w:r>
        <w:rPr>
          <w:spacing w:val="-6"/>
        </w:rPr>
        <w:t>万元)。其中，以现金方式购买嘉华信息</w:t>
      </w:r>
      <w:r>
        <w:rPr>
          <w:spacing w:val="-101"/>
        </w:rPr>
        <w:t> </w:t>
      </w:r>
      <w:r>
        <w:rPr>
          <w:spacing w:val="-101"/>
        </w:rPr>
      </w:r>
      <w:r>
        <w:rPr>
          <w:spacing w:val="-3"/>
        </w:rPr>
        <w:t>51%股权，在公司股东大会审议通过后实施；以发行股份方式购买嘉华信息 </w:t>
      </w:r>
      <w:r>
        <w:rPr>
          <w:spacing w:val="-4"/>
        </w:rPr>
        <w:t>49%股权，在获得公司股</w:t>
      </w:r>
      <w:r>
        <w:rPr>
          <w:spacing w:val="-84"/>
        </w:rPr>
        <w:t> </w:t>
      </w:r>
      <w:r>
        <w:rPr>
          <w:spacing w:val="-84"/>
        </w:rPr>
      </w:r>
      <w:r>
        <w:rPr>
          <w:spacing w:val="-2"/>
        </w:rPr>
        <w:t>东大会审议通过及中国证监会核准后实施。有关情况及信息查询索引见本年报第四章第七节的相关</w:t>
      </w:r>
      <w:r>
        <w:rPr>
          <w:spacing w:val="-42"/>
        </w:rPr>
        <w:t> </w:t>
      </w:r>
      <w:r>
        <w:rPr>
          <w:spacing w:val="-42"/>
        </w:rPr>
      </w:r>
      <w:r>
        <w:rPr>
          <w:spacing w:val="-2"/>
        </w:rPr>
        <w:t>内容。嘉华信息主要从事移动信息传输业务和金融服务外包业务，其信息传输业务客户包括中国人</w:t>
      </w:r>
      <w:r>
        <w:rPr>
          <w:spacing w:val="-48"/>
        </w:rPr>
        <w:t> </w:t>
      </w:r>
      <w:r>
        <w:rPr>
          <w:spacing w:val="-48"/>
        </w:rPr>
      </w:r>
      <w:r>
        <w:rPr>
          <w:spacing w:val="-2"/>
        </w:rPr>
        <w:t>寿、中国人保、光大银行、民生银行等大型保险、银行单位，与公司全资子公司创世漫道的客户有</w:t>
      </w:r>
      <w:r>
        <w:rPr>
          <w:spacing w:val="-46"/>
        </w:rPr>
        <w:t> </w:t>
      </w:r>
      <w:r>
        <w:rPr>
          <w:spacing w:val="-46"/>
        </w:rPr>
      </w:r>
      <w:r>
        <w:rPr>
          <w:spacing w:val="-2"/>
        </w:rPr>
        <w:t>很强的互补性，若重组成功将扩大公司主业信息传输的业务规模，提升市场份额和盈利，增强竞争</w:t>
      </w:r>
      <w:r>
        <w:rPr>
          <w:spacing w:val="-46"/>
        </w:rPr>
        <w:t> </w:t>
      </w:r>
      <w:r>
        <w:rPr>
          <w:spacing w:val="-46"/>
        </w:rPr>
      </w:r>
      <w:r>
        <w:rPr>
          <w:spacing w:val="-2"/>
        </w:rPr>
        <w:t>力，金融服务外包业务将以大数据和人工智能为核心的金融科技为金融机构提供服务，促进公司未</w:t>
      </w:r>
      <w:r>
        <w:rPr>
          <w:spacing w:val="-43"/>
        </w:rPr>
        <w:t> </w:t>
      </w:r>
      <w:r>
        <w:rPr>
          <w:spacing w:val="-43"/>
        </w:rPr>
      </w:r>
      <w:r>
        <w:rPr/>
        <w:t>来营收、盈利有更好的表现。</w:t>
      </w:r>
    </w:p>
    <w:p>
      <w:pPr>
        <w:pStyle w:val="BodyText"/>
        <w:spacing w:line="273" w:lineRule="auto" w:before="164"/>
        <w:ind w:left="153" w:right="113" w:firstLine="420"/>
        <w:jc w:val="both"/>
      </w:pPr>
      <w:r>
        <w:rPr>
          <w:spacing w:val="-2"/>
        </w:rPr>
        <w:t>五、全资子公司长实通信取得广东省科学技术厅、广东省财政厅、广东省国家税务局、广东省</w:t>
      </w:r>
      <w:r>
        <w:rPr>
          <w:w w:val="100"/>
        </w:rPr>
        <w:t> </w:t>
      </w:r>
      <w:r>
        <w:rPr>
          <w:spacing w:val="-2"/>
        </w:rPr>
        <w:t>地方税务局联合颁发的《高新技术企业证书》至报告期末期满，长实通信将向广东省相关单位申请</w:t>
      </w:r>
      <w:r>
        <w:rPr>
          <w:spacing w:val="-49"/>
        </w:rPr>
        <w:t> </w:t>
      </w:r>
      <w:r>
        <w:rPr>
          <w:spacing w:val="-49"/>
        </w:rPr>
      </w:r>
      <w:r>
        <w:rPr>
          <w:spacing w:val="-2"/>
        </w:rPr>
        <w:t>高新技术企业认定以争取企业所得税征收优惠，未来存在是否获得认定的不确定性暨企业所得税上</w:t>
      </w:r>
      <w:r>
        <w:rPr>
          <w:spacing w:val="-42"/>
        </w:rPr>
        <w:t> </w:t>
      </w:r>
      <w:r>
        <w:rPr>
          <w:spacing w:val="-42"/>
        </w:rPr>
      </w:r>
      <w:r>
        <w:rPr/>
        <w:t>升风险；但经过</w:t>
      </w:r>
      <w:r>
        <w:rPr>
          <w:spacing w:val="-55"/>
        </w:rPr>
        <w:t> </w:t>
      </w:r>
      <w:r>
        <w:rPr/>
        <w:t>3</w:t>
      </w:r>
      <w:r>
        <w:rPr>
          <w:spacing w:val="-55"/>
        </w:rPr>
        <w:t> </w:t>
      </w:r>
      <w:r>
        <w:rPr/>
        <w:t>次申报，长实通信已经连续</w:t>
      </w:r>
      <w:r>
        <w:rPr>
          <w:spacing w:val="-55"/>
        </w:rPr>
        <w:t> </w:t>
      </w:r>
      <w:r>
        <w:rPr/>
        <w:t>9</w:t>
      </w:r>
      <w:r>
        <w:rPr>
          <w:spacing w:val="-55"/>
        </w:rPr>
        <w:t> </w:t>
      </w:r>
      <w:r>
        <w:rPr/>
        <w:t>年为高新技术企业，继续申报获得认定具备条件。</w:t>
      </w:r>
      <w:r>
        <w:rPr>
          <w:w w:val="100"/>
        </w:rPr>
        <w:t> </w:t>
      </w:r>
      <w:r>
        <w:rPr>
          <w:spacing w:val="-2"/>
        </w:rPr>
        <w:t>全资子公司创世漫道取得北京市科学技术委员会、北京市财政局、北京市国家税务局、北京市地方</w:t>
      </w:r>
      <w:r>
        <w:rPr>
          <w:spacing w:val="-46"/>
        </w:rPr>
        <w:t> </w:t>
      </w:r>
      <w:r>
        <w:rPr>
          <w:spacing w:val="-46"/>
        </w:rPr>
      </w:r>
      <w:r>
        <w:rPr>
          <w:spacing w:val="-11"/>
          <w:w w:val="100"/>
        </w:rPr>
        <w:t>税务局联合颁发的《高新技术企业证书》，自</w:t>
      </w:r>
      <w:r>
        <w:rPr>
          <w:spacing w:val="-53"/>
          <w:w w:val="100"/>
        </w:rPr>
        <w:t> </w:t>
      </w:r>
      <w:r>
        <w:rPr>
          <w:spacing w:val="-1"/>
          <w:w w:val="100"/>
        </w:rPr>
        <w:t>2016</w:t>
      </w:r>
      <w:r>
        <w:rPr>
          <w:spacing w:val="-55"/>
          <w:w w:val="100"/>
        </w:rPr>
        <w:t> </w:t>
      </w:r>
      <w:r>
        <w:rPr>
          <w:w w:val="100"/>
        </w:rPr>
        <w:t>年</w:t>
      </w:r>
      <w:r>
        <w:rPr>
          <w:spacing w:val="-53"/>
          <w:w w:val="100"/>
        </w:rPr>
        <w:t> </w:t>
      </w:r>
      <w:r>
        <w:rPr>
          <w:w w:val="100"/>
        </w:rPr>
        <w:t>1</w:t>
      </w:r>
      <w:r>
        <w:rPr>
          <w:spacing w:val="-55"/>
          <w:w w:val="100"/>
        </w:rPr>
        <w:t> </w:t>
      </w:r>
      <w:r>
        <w:rPr>
          <w:w w:val="100"/>
        </w:rPr>
        <w:t>月</w:t>
      </w:r>
      <w:r>
        <w:rPr>
          <w:spacing w:val="-53"/>
          <w:w w:val="100"/>
        </w:rPr>
        <w:t> </w:t>
      </w:r>
      <w:r>
        <w:rPr>
          <w:w w:val="100"/>
        </w:rPr>
        <w:t>1</w:t>
      </w:r>
      <w:r>
        <w:rPr>
          <w:spacing w:val="-53"/>
          <w:w w:val="100"/>
        </w:rPr>
        <w:t> </w:t>
      </w:r>
      <w:r>
        <w:rPr>
          <w:spacing w:val="-2"/>
          <w:w w:val="100"/>
        </w:rPr>
        <w:t>日至</w:t>
      </w:r>
      <w:r>
        <w:rPr>
          <w:spacing w:val="-53"/>
          <w:w w:val="100"/>
        </w:rPr>
        <w:t> </w:t>
      </w:r>
      <w:r>
        <w:rPr>
          <w:spacing w:val="-1"/>
          <w:w w:val="100"/>
        </w:rPr>
        <w:t>2018</w:t>
      </w:r>
      <w:r>
        <w:rPr>
          <w:spacing w:val="-55"/>
          <w:w w:val="100"/>
        </w:rPr>
        <w:t> </w:t>
      </w:r>
      <w:r>
        <w:rPr>
          <w:w w:val="100"/>
        </w:rPr>
        <w:t>年</w:t>
      </w:r>
      <w:r>
        <w:rPr>
          <w:spacing w:val="-53"/>
          <w:w w:val="100"/>
        </w:rPr>
        <w:t> </w:t>
      </w:r>
      <w:r>
        <w:rPr>
          <w:w w:val="100"/>
        </w:rPr>
        <w:t>12</w:t>
      </w:r>
      <w:r>
        <w:rPr>
          <w:spacing w:val="-55"/>
          <w:w w:val="100"/>
        </w:rPr>
        <w:t> </w:t>
      </w:r>
      <w:r>
        <w:rPr>
          <w:w w:val="100"/>
        </w:rPr>
        <w:t>月</w:t>
      </w:r>
      <w:r>
        <w:rPr>
          <w:spacing w:val="-53"/>
          <w:w w:val="100"/>
        </w:rPr>
        <w:t> </w:t>
      </w:r>
      <w:r>
        <w:rPr>
          <w:w w:val="100"/>
        </w:rPr>
        <w:t>31</w:t>
      </w:r>
      <w:r>
        <w:rPr>
          <w:spacing w:val="-55"/>
          <w:w w:val="100"/>
        </w:rPr>
        <w:t> </w:t>
      </w:r>
      <w:r>
        <w:rPr>
          <w:w w:val="100"/>
        </w:rPr>
        <w:t>日按</w:t>
      </w:r>
      <w:r>
        <w:rPr>
          <w:spacing w:val="-55"/>
          <w:w w:val="100"/>
        </w:rPr>
        <w:t> </w:t>
      </w:r>
      <w:r>
        <w:rPr>
          <w:spacing w:val="-1"/>
          <w:w w:val="100"/>
        </w:rPr>
        <w:t>15%的税率征</w:t>
      </w:r>
      <w:r>
        <w:rPr>
          <w:w w:val="100"/>
        </w:rPr>
        <w:t> </w:t>
      </w:r>
      <w:r>
        <w:rPr/>
        <w:t>收企业所得税，将继续享有高新技术企业所得税优惠政策。</w:t>
      </w:r>
    </w:p>
    <w:p>
      <w:pPr>
        <w:pStyle w:val="BodyText"/>
        <w:spacing w:line="273" w:lineRule="auto" w:before="164"/>
        <w:ind w:left="153" w:right="132" w:firstLine="420"/>
        <w:jc w:val="both"/>
      </w:pPr>
      <w:r>
        <w:rPr>
          <w:spacing w:val="-3"/>
        </w:rPr>
        <w:t>六、公司为轻资产型公司。报告期末公司的非流动资产商誉占净资产的比例达</w:t>
      </w:r>
      <w:r>
        <w:rPr>
          <w:spacing w:val="-9"/>
        </w:rPr>
        <w:t> </w:t>
      </w:r>
      <w:r>
        <w:rPr>
          <w:spacing w:val="-4"/>
        </w:rPr>
        <w:t>65.35%，形成商</w:t>
      </w:r>
      <w:r>
        <w:rPr>
          <w:w w:val="100"/>
        </w:rPr>
        <w:t> </w:t>
      </w:r>
      <w:r>
        <w:rPr>
          <w:spacing w:val="-2"/>
        </w:rPr>
        <w:t>誉的基础资产创世漫道、长实通信自纳入公司合并范围以来，营业收入、净利润持续增长，完成了</w:t>
      </w:r>
      <w:r>
        <w:rPr>
          <w:spacing w:val="-46"/>
        </w:rPr>
        <w:t> </w:t>
      </w:r>
      <w:r>
        <w:rPr>
          <w:spacing w:val="-46"/>
        </w:rPr>
      </w:r>
      <w:r>
        <w:rPr>
          <w:spacing w:val="-2"/>
        </w:rPr>
        <w:t>业绩承诺且业绩承诺期满后有望保持上升，公司商誉未出现减值迹象。有关本期减值测试情况可阅</w:t>
      </w:r>
      <w:r>
        <w:rPr>
          <w:spacing w:val="-46"/>
        </w:rPr>
        <w:t> </w:t>
      </w:r>
      <w:r>
        <w:rPr>
          <w:spacing w:val="-46"/>
        </w:rPr>
      </w:r>
      <w:r>
        <w:rPr/>
        <w:t>读本报告本章第三节“四、可能面对的风险”的相关内容。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tabs>
          <w:tab w:pos="863" w:val="left" w:leader="none"/>
        </w:tabs>
        <w:spacing w:before="0"/>
        <w:ind w:left="18" w:right="0" w:firstLine="0"/>
        <w:jc w:val="center"/>
        <w:rPr>
          <w:rFonts w:ascii="宋体" w:hAnsi="宋体" w:cs="宋体" w:eastAsia="宋体" w:hint="default"/>
          <w:sz w:val="21"/>
          <w:szCs w:val="21"/>
        </w:rPr>
      </w:pPr>
      <w:r>
        <w:rPr>
          <w:rFonts w:ascii="宋体" w:hAnsi="宋体" w:cs="宋体" w:eastAsia="宋体" w:hint="default"/>
          <w:b/>
          <w:bCs/>
          <w:sz w:val="21"/>
          <w:szCs w:val="21"/>
        </w:rPr>
        <w:t>第二节</w:t>
        <w:tab/>
        <w:t>主营业务分析</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73" w:lineRule="auto" w:before="0"/>
        <w:ind w:right="0"/>
        <w:jc w:val="left"/>
      </w:pPr>
      <w:r>
        <w:rPr/>
        <w:t>一、主要经营情况</w:t>
      </w:r>
      <w:r>
        <w:rPr>
          <w:w w:val="100"/>
        </w:rPr>
        <w:t> </w:t>
      </w:r>
      <w:r>
        <w:rPr>
          <w:spacing w:val="-2"/>
        </w:rPr>
        <w:t>报告期内公司主营业务包括信息智能传输、通信网络维护，辅之软件开发及应用。信息智能传</w:t>
      </w:r>
    </w:p>
    <w:p>
      <w:pPr>
        <w:pStyle w:val="BodyText"/>
        <w:spacing w:line="240" w:lineRule="auto"/>
        <w:ind w:left="153" w:right="0"/>
        <w:jc w:val="both"/>
      </w:pPr>
      <w:r>
        <w:rPr/>
        <w:t>输不受地域限制，通信网络维护划分为长江以南、长江以北两个地区。</w:t>
      </w:r>
    </w:p>
    <w:p>
      <w:pPr>
        <w:spacing w:line="240" w:lineRule="auto" w:before="10"/>
        <w:rPr>
          <w:rFonts w:ascii="宋体" w:hAnsi="宋体" w:cs="宋体" w:eastAsia="宋体" w:hint="default"/>
          <w:sz w:val="14"/>
          <w:szCs w:val="14"/>
        </w:rPr>
      </w:pPr>
    </w:p>
    <w:p>
      <w:pPr>
        <w:pStyle w:val="BodyText"/>
        <w:spacing w:line="273" w:lineRule="auto" w:before="0"/>
        <w:ind w:right="0"/>
        <w:jc w:val="left"/>
      </w:pPr>
      <w:r>
        <w:rPr/>
        <w:t>(一) 概述</w:t>
      </w:r>
      <w:r>
        <w:rPr>
          <w:spacing w:val="-103"/>
        </w:rPr>
        <w:t> </w:t>
      </w:r>
      <w:r>
        <w:rPr>
          <w:spacing w:val="-103"/>
        </w:rPr>
      </w:r>
      <w:r>
        <w:rPr>
          <w:spacing w:val="-2"/>
        </w:rPr>
        <w:t>在股东、投资者的支持下，在全体员工的努力工作中，随着行业的良好发展趋势，报告期公司</w:t>
      </w:r>
    </w:p>
    <w:p>
      <w:pPr>
        <w:pStyle w:val="BodyText"/>
        <w:spacing w:line="326" w:lineRule="auto"/>
        <w:ind w:right="0" w:hanging="421"/>
        <w:jc w:val="left"/>
      </w:pPr>
      <w:r>
        <w:rPr/>
        <w:t>主营业务信息智能传输和通信网络维护实现营业收入和净利润的双增长，保持财务状况良好。</w:t>
      </w:r>
      <w:r>
        <w:rPr>
          <w:w w:val="100"/>
        </w:rPr>
        <w:t> </w:t>
      </w:r>
      <w:r>
        <w:rPr/>
        <w:t>1、报告期公司发展主业，拓展客户，提高服务质量，开展新业务，实现的营业收入同比增幅</w:t>
      </w:r>
    </w:p>
    <w:p>
      <w:pPr>
        <w:pStyle w:val="BodyText"/>
        <w:spacing w:line="236" w:lineRule="exact" w:before="0"/>
        <w:ind w:left="153" w:right="0"/>
        <w:jc w:val="both"/>
      </w:pPr>
      <w:r>
        <w:rPr/>
        <w:t>16.13%，收入的增量主要来自主业，同时辅助业务有较快增长。报告期公司营收增量、增幅、占比</w:t>
      </w:r>
    </w:p>
    <w:p>
      <w:pPr>
        <w:pStyle w:val="BodyText"/>
        <w:spacing w:line="240" w:lineRule="auto" w:before="37"/>
        <w:ind w:left="153" w:right="0"/>
        <w:jc w:val="both"/>
      </w:pPr>
      <w:r>
        <w:rPr/>
        <w:t>情况见本报告本章第一节的有关内容。</w:t>
      </w:r>
    </w:p>
    <w:p>
      <w:pPr>
        <w:pStyle w:val="BodyText"/>
        <w:spacing w:line="273" w:lineRule="auto" w:before="99"/>
        <w:ind w:left="153" w:right="135" w:firstLine="420"/>
        <w:jc w:val="both"/>
      </w:pPr>
      <w:r>
        <w:rPr>
          <w:spacing w:val="-7"/>
        </w:rPr>
        <w:t>2、报告期公司控制成本，营业成本同比增加</w:t>
      </w:r>
      <w:r>
        <w:rPr>
          <w:spacing w:val="-43"/>
        </w:rPr>
        <w:t> </w:t>
      </w:r>
      <w:r>
        <w:rPr/>
        <w:t>24,417.34</w:t>
      </w:r>
      <w:r>
        <w:rPr>
          <w:spacing w:val="-43"/>
        </w:rPr>
        <w:t> </w:t>
      </w:r>
      <w:r>
        <w:rPr>
          <w:spacing w:val="-13"/>
        </w:rPr>
        <w:t>万元，增幅</w:t>
      </w:r>
      <w:r>
        <w:rPr>
          <w:spacing w:val="-43"/>
        </w:rPr>
        <w:t> </w:t>
      </w:r>
      <w:r>
        <w:rPr>
          <w:spacing w:val="-6"/>
        </w:rPr>
        <w:t>17.89%，高于营收增幅</w:t>
      </w:r>
      <w:r>
        <w:rPr>
          <w:spacing w:val="-43"/>
        </w:rPr>
        <w:t> </w:t>
      </w:r>
      <w:r>
        <w:rPr/>
        <w:t>1.76</w:t>
      </w:r>
      <w:r>
        <w:rPr>
          <w:w w:val="100"/>
        </w:rPr>
        <w:t> </w:t>
      </w:r>
      <w:r>
        <w:rPr/>
        <w:t>个百分点，除与营收上升同时增加的成本外，主要是通信网络维护业务成本有所上升。</w:t>
      </w:r>
    </w:p>
    <w:p>
      <w:pPr>
        <w:pStyle w:val="BodyText"/>
        <w:spacing w:line="273" w:lineRule="auto" w:before="70"/>
        <w:ind w:left="153" w:right="130" w:firstLine="420"/>
        <w:jc w:val="both"/>
      </w:pPr>
      <w:r>
        <w:rPr>
          <w:spacing w:val="-3"/>
        </w:rPr>
        <w:t>3、报告期公司期间费用同比增加</w:t>
      </w:r>
      <w:r>
        <w:rPr>
          <w:spacing w:val="-44"/>
        </w:rPr>
        <w:t> </w:t>
      </w:r>
      <w:r>
        <w:rPr/>
        <w:t>1,031.40</w:t>
      </w:r>
      <w:r>
        <w:rPr>
          <w:spacing w:val="-45"/>
        </w:rPr>
        <w:t> </w:t>
      </w:r>
      <w:r>
        <w:rPr>
          <w:spacing w:val="-7"/>
        </w:rPr>
        <w:t>万元，增幅</w:t>
      </w:r>
      <w:r>
        <w:rPr>
          <w:spacing w:val="-45"/>
        </w:rPr>
        <w:t> </w:t>
      </w:r>
      <w:r>
        <w:rPr>
          <w:spacing w:val="-3"/>
        </w:rPr>
        <w:t>5.00%，其中销售费用增加</w:t>
      </w:r>
      <w:r>
        <w:rPr>
          <w:spacing w:val="-45"/>
        </w:rPr>
        <w:t> </w:t>
      </w:r>
      <w:r>
        <w:rPr/>
        <w:t>174.78</w:t>
      </w:r>
      <w:r>
        <w:rPr>
          <w:spacing w:val="-47"/>
        </w:rPr>
        <w:t> </w:t>
      </w:r>
      <w:r>
        <w:rPr/>
        <w:t>万元</w:t>
      </w:r>
      <w:r>
        <w:rPr>
          <w:w w:val="100"/>
        </w:rPr>
        <w:t> </w:t>
      </w:r>
      <w:r>
        <w:rPr/>
        <w:t>增幅</w:t>
      </w:r>
      <w:r>
        <w:rPr>
          <w:spacing w:val="-55"/>
        </w:rPr>
        <w:t> </w:t>
      </w:r>
      <w:r>
        <w:rPr/>
        <w:t>5.85%，管理费用增加</w:t>
      </w:r>
      <w:r>
        <w:rPr>
          <w:spacing w:val="-55"/>
        </w:rPr>
        <w:t> </w:t>
      </w:r>
      <w:r>
        <w:rPr/>
        <w:t>1,168.87</w:t>
      </w:r>
      <w:r>
        <w:rPr>
          <w:spacing w:val="-55"/>
        </w:rPr>
        <w:t> </w:t>
      </w:r>
      <w:r>
        <w:rPr/>
        <w:t>万元增幅</w:t>
      </w:r>
      <w:r>
        <w:rPr>
          <w:spacing w:val="-55"/>
        </w:rPr>
        <w:t> </w:t>
      </w:r>
      <w:r>
        <w:rPr/>
        <w:t>6.58%。费用控制较好。</w:t>
      </w:r>
    </w:p>
    <w:p>
      <w:pPr>
        <w:pStyle w:val="BodyText"/>
        <w:spacing w:line="240" w:lineRule="auto" w:before="70"/>
        <w:ind w:right="0"/>
        <w:jc w:val="left"/>
      </w:pPr>
      <w:r>
        <w:rPr/>
        <w:t>4、由于主业营收增长，成本、费用控制良好，盈利上升；辅业软件开发及应用同比增加毛利</w:t>
      </w:r>
    </w:p>
    <w:p>
      <w:pPr>
        <w:pStyle w:val="BodyText"/>
        <w:spacing w:line="273" w:lineRule="auto" w:before="37"/>
        <w:ind w:left="153" w:right="130"/>
        <w:jc w:val="both"/>
      </w:pPr>
      <w:r>
        <w:rPr/>
        <w:t>1,323.58</w:t>
      </w:r>
      <w:r>
        <w:rPr>
          <w:spacing w:val="-43"/>
        </w:rPr>
        <w:t> </w:t>
      </w:r>
      <w:r>
        <w:rPr/>
        <w:t>万元，始于本期的相关工程业务实现毛利</w:t>
      </w:r>
      <w:r>
        <w:rPr>
          <w:spacing w:val="-43"/>
        </w:rPr>
        <w:t> </w:t>
      </w:r>
      <w:r>
        <w:rPr/>
        <w:t>1,275.61</w:t>
      </w:r>
      <w:r>
        <w:rPr>
          <w:spacing w:val="-43"/>
        </w:rPr>
        <w:t> </w:t>
      </w:r>
      <w:r>
        <w:rPr/>
        <w:t>万元，在没有转回的坏账准备增加上</w:t>
      </w:r>
      <w:r>
        <w:rPr>
          <w:w w:val="100"/>
        </w:rPr>
        <w:t> </w:t>
      </w:r>
      <w:r>
        <w:rPr/>
        <w:t>年同期净利润</w:t>
      </w:r>
      <w:r>
        <w:rPr>
          <w:spacing w:val="-54"/>
        </w:rPr>
        <w:t> </w:t>
      </w:r>
      <w:r>
        <w:rPr/>
        <w:t>2,636.02</w:t>
      </w:r>
      <w:r>
        <w:rPr>
          <w:spacing w:val="-56"/>
        </w:rPr>
        <w:t> </w:t>
      </w:r>
      <w:r>
        <w:rPr/>
        <w:t>万元的情况下，报告期公司净利润同比增加</w:t>
      </w:r>
      <w:r>
        <w:rPr>
          <w:spacing w:val="-54"/>
        </w:rPr>
        <w:t> </w:t>
      </w:r>
      <w:r>
        <w:rPr/>
        <w:t>862.71</w:t>
      </w:r>
      <w:r>
        <w:rPr>
          <w:spacing w:val="-56"/>
        </w:rPr>
        <w:t> </w:t>
      </w:r>
      <w:r>
        <w:rPr/>
        <w:t>万元。</w:t>
      </w:r>
    </w:p>
    <w:p>
      <w:pPr>
        <w:pStyle w:val="BodyText"/>
        <w:spacing w:line="271" w:lineRule="auto" w:before="70"/>
        <w:ind w:left="153" w:right="130" w:firstLine="420"/>
        <w:jc w:val="both"/>
      </w:pPr>
      <w:r>
        <w:rPr/>
        <w:t>5、为保持主营业务持续发展，提升、积累应用技术，顺应行业发展趋势，满足客户多样化需</w:t>
      </w:r>
      <w:r>
        <w:rPr>
          <w:w w:val="100"/>
        </w:rPr>
        <w:t> </w:t>
      </w:r>
      <w:r>
        <w:rPr/>
        <w:t>求，保障竞争力，报告期公司继续研发投入 8,022.38</w:t>
      </w:r>
      <w:r>
        <w:rPr>
          <w:spacing w:val="-22"/>
        </w:rPr>
        <w:t> </w:t>
      </w:r>
      <w:r>
        <w:rPr/>
        <w:t>万元，接近上年投入水平。有关情况可阅读</w:t>
      </w:r>
      <w:r>
        <w:rPr>
          <w:w w:val="100"/>
        </w:rPr>
        <w:t> </w:t>
      </w:r>
      <w:r>
        <w:rPr/>
        <w:t>本报告本节下列“(四)研发投入”的内容。</w:t>
      </w:r>
    </w:p>
    <w:p>
      <w:pPr>
        <w:spacing w:after="0" w:line="271" w:lineRule="auto"/>
        <w:jc w:val="both"/>
        <w:sectPr>
          <w:pgSz w:w="11910" w:h="16840"/>
          <w:pgMar w:header="884" w:footer="1000" w:top="1140" w:bottom="1200" w:left="1320" w:right="1280"/>
        </w:sectPr>
      </w:pPr>
    </w:p>
    <w:p>
      <w:pPr>
        <w:pStyle w:val="BodyText"/>
        <w:spacing w:line="240" w:lineRule="auto" w:before="131"/>
        <w:ind w:left="813" w:right="342"/>
        <w:jc w:val="left"/>
      </w:pPr>
      <w:r>
        <w:rPr/>
        <w:t>6、报告期公司经营活动产生的现金流量净额为 4,316.33 万元，较上年 14,844.91</w:t>
      </w:r>
      <w:r>
        <w:rPr>
          <w:spacing w:val="-27"/>
        </w:rPr>
        <w:t> </w:t>
      </w:r>
      <w:r>
        <w:rPr/>
        <w:t>万元减少</w:t>
      </w:r>
    </w:p>
    <w:p>
      <w:pPr>
        <w:pStyle w:val="BodyText"/>
        <w:spacing w:line="240" w:lineRule="auto" w:before="37"/>
        <w:ind w:left="393" w:right="342"/>
        <w:jc w:val="left"/>
      </w:pPr>
      <w:r>
        <w:rPr/>
        <w:t>10,528.58</w:t>
      </w:r>
      <w:r>
        <w:rPr>
          <w:spacing w:val="-34"/>
        </w:rPr>
        <w:t> </w:t>
      </w:r>
      <w:r>
        <w:rPr/>
        <w:t>万元，同比降幅</w:t>
      </w:r>
      <w:r>
        <w:rPr>
          <w:spacing w:val="-32"/>
        </w:rPr>
        <w:t> </w:t>
      </w:r>
      <w:r>
        <w:rPr/>
        <w:t>70.92%，主要原因是营业收入同比增加流入的现金额</w:t>
      </w:r>
      <w:r>
        <w:rPr>
          <w:spacing w:val="-32"/>
        </w:rPr>
        <w:t> </w:t>
      </w:r>
      <w:r>
        <w:rPr/>
        <w:t>7,883.28</w:t>
      </w:r>
      <w:r>
        <w:rPr>
          <w:spacing w:val="-32"/>
        </w:rPr>
        <w:t> </w:t>
      </w:r>
      <w:r>
        <w:rPr/>
        <w:t>万元，</w:t>
      </w:r>
    </w:p>
    <w:p>
      <w:pPr>
        <w:pStyle w:val="BodyText"/>
        <w:spacing w:line="326" w:lineRule="auto" w:before="37"/>
        <w:ind w:left="813" w:right="342" w:hanging="421"/>
        <w:jc w:val="left"/>
      </w:pPr>
      <w:r>
        <w:rPr/>
        <w:t>小于长实通信劳务采购、直接人工、原材料等成本支出同比增加流出的现金额</w:t>
      </w:r>
      <w:r>
        <w:rPr>
          <w:spacing w:val="-54"/>
        </w:rPr>
        <w:t> </w:t>
      </w:r>
      <w:r>
        <w:rPr/>
        <w:t>16,292.47</w:t>
      </w:r>
      <w:r>
        <w:rPr>
          <w:spacing w:val="-54"/>
        </w:rPr>
        <w:t> </w:t>
      </w:r>
      <w:r>
        <w:rPr/>
        <w:t>万元。</w:t>
      </w:r>
      <w:r>
        <w:rPr>
          <w:w w:val="100"/>
        </w:rPr>
        <w:t> </w:t>
      </w:r>
      <w:r>
        <w:rPr/>
        <w:t>7、由于本期已没有上年同期转回的坏账准备，主业利润占比上升，报告期公司利润构成、来</w:t>
      </w:r>
    </w:p>
    <w:p>
      <w:pPr>
        <w:pStyle w:val="BodyText"/>
        <w:spacing w:line="236" w:lineRule="exact" w:before="0"/>
        <w:ind w:left="393" w:right="1174"/>
        <w:jc w:val="left"/>
      </w:pPr>
      <w:r>
        <w:rPr/>
        <w:t>源发生变化，变化情况见下表：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60"/>
        <w:gridCol w:w="1591"/>
        <w:gridCol w:w="1759"/>
        <w:gridCol w:w="1879"/>
        <w:gridCol w:w="1325"/>
        <w:gridCol w:w="1210"/>
        <w:gridCol w:w="914"/>
      </w:tblGrid>
      <w:tr>
        <w:trPr>
          <w:trHeight w:val="350"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金额(元)</w:t>
            </w: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9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914" w:type="dxa"/>
            <w:vMerge w:val="restart"/>
            <w:tcBorders>
              <w:top w:val="single" w:sz="4" w:space="0" w:color="000000"/>
              <w:left w:val="single" w:sz="4" w:space="0" w:color="000000"/>
              <w:right w:val="single" w:sz="4" w:space="0" w:color="000000"/>
            </w:tcBorders>
          </w:tcPr>
          <w:p>
            <w:pPr>
              <w:pStyle w:val="TableParagraph"/>
              <w:spacing w:line="319" w:lineRule="auto" w:before="41"/>
              <w:ind w:left="103" w:right="101"/>
              <w:jc w:val="left"/>
              <w:rPr>
                <w:rFonts w:ascii="宋体" w:hAnsi="宋体" w:cs="宋体" w:eastAsia="宋体" w:hint="default"/>
                <w:sz w:val="18"/>
                <w:szCs w:val="18"/>
              </w:rPr>
            </w:pPr>
            <w:r>
              <w:rPr>
                <w:rFonts w:ascii="宋体" w:hAnsi="宋体" w:cs="宋体" w:eastAsia="宋体" w:hint="default"/>
                <w:sz w:val="18"/>
                <w:szCs w:val="18"/>
              </w:rPr>
              <w:t>增 减</w:t>
            </w:r>
            <w:r>
              <w:rPr>
                <w:rFonts w:ascii="宋体" w:hAnsi="宋体" w:cs="宋体" w:eastAsia="宋体" w:hint="default"/>
                <w:spacing w:val="-22"/>
                <w:sz w:val="18"/>
                <w:szCs w:val="18"/>
              </w:rPr>
              <w:t> </w:t>
            </w:r>
            <w:r>
              <w:rPr>
                <w:rFonts w:ascii="宋体" w:hAnsi="宋体" w:cs="宋体" w:eastAsia="宋体" w:hint="default"/>
                <w:sz w:val="18"/>
                <w:szCs w:val="18"/>
              </w:rPr>
              <w:t>百</w:t>
            </w:r>
            <w:r>
              <w:rPr>
                <w:rFonts w:ascii="宋体" w:hAnsi="宋体" w:cs="宋体" w:eastAsia="宋体" w:hint="default"/>
                <w:sz w:val="18"/>
                <w:szCs w:val="18"/>
              </w:rPr>
              <w:t> 分点</w:t>
            </w:r>
          </w:p>
        </w:tc>
      </w:tr>
      <w:tr>
        <w:trPr>
          <w:trHeight w:val="350" w:hRule="exact"/>
        </w:trPr>
        <w:tc>
          <w:tcPr>
            <w:tcW w:w="960"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14" w:type="dxa"/>
            <w:vMerge/>
            <w:tcBorders>
              <w:left w:val="single" w:sz="4" w:space="0" w:color="000000"/>
              <w:bottom w:val="single" w:sz="4" w:space="0" w:color="000000"/>
              <w:right w:val="single" w:sz="4" w:space="0" w:color="000000"/>
            </w:tcBorders>
          </w:tcPr>
          <w:p>
            <w:pPr/>
          </w:p>
        </w:tc>
      </w:tr>
      <w:tr>
        <w:trPr>
          <w:trHeight w:val="322" w:hRule="exact"/>
        </w:trPr>
        <w:tc>
          <w:tcPr>
            <w:tcW w:w="960" w:type="dxa"/>
            <w:vMerge w:val="restart"/>
            <w:tcBorders>
              <w:top w:val="single" w:sz="4" w:space="0" w:color="000000"/>
              <w:left w:val="single" w:sz="4" w:space="0" w:color="000000"/>
              <w:right w:val="single" w:sz="4" w:space="0" w:color="000000"/>
            </w:tcBorders>
          </w:tcPr>
          <w:p>
            <w:pPr>
              <w:pStyle w:val="TableParagraph"/>
              <w:spacing w:line="237" w:lineRule="auto" w:before="116"/>
              <w:ind w:left="103" w:right="98"/>
              <w:jc w:val="both"/>
              <w:rPr>
                <w:rFonts w:ascii="宋体" w:hAnsi="宋体" w:cs="宋体" w:eastAsia="宋体" w:hint="default"/>
                <w:sz w:val="18"/>
                <w:szCs w:val="18"/>
              </w:rPr>
            </w:pPr>
            <w:r>
              <w:rPr>
                <w:rFonts w:ascii="宋体" w:hAnsi="宋体" w:cs="宋体" w:eastAsia="宋体" w:hint="default"/>
                <w:spacing w:val="5"/>
                <w:sz w:val="18"/>
                <w:szCs w:val="18"/>
              </w:rPr>
              <w:t>创世漫道</w:t>
            </w:r>
            <w:r>
              <w:rPr>
                <w:rFonts w:ascii="宋体" w:hAnsi="宋体" w:cs="宋体" w:eastAsia="宋体" w:hint="default"/>
                <w:sz w:val="18"/>
                <w:szCs w:val="18"/>
              </w:rPr>
              <w:t> (</w:t>
            </w:r>
            <w:r>
              <w:rPr>
                <w:rFonts w:ascii="宋体" w:hAnsi="宋体" w:cs="宋体" w:eastAsia="宋体" w:hint="default"/>
                <w:spacing w:val="-51"/>
                <w:sz w:val="18"/>
                <w:szCs w:val="18"/>
              </w:rPr>
              <w:t> </w:t>
            </w:r>
            <w:r>
              <w:rPr>
                <w:rFonts w:ascii="宋体" w:hAnsi="宋体" w:cs="宋体" w:eastAsia="宋体" w:hint="default"/>
                <w:sz w:val="18"/>
                <w:szCs w:val="18"/>
              </w:rPr>
              <w:t>含</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pacing w:val="-52"/>
                <w:sz w:val="18"/>
                <w:szCs w:val="18"/>
              </w:rPr>
              <w:t> </w:t>
            </w:r>
            <w:r>
              <w:rPr>
                <w:rFonts w:ascii="宋体" w:hAnsi="宋体" w:cs="宋体" w:eastAsia="宋体" w:hint="default"/>
                <w:sz w:val="18"/>
                <w:szCs w:val="18"/>
              </w:rPr>
              <w:t>息</w:t>
            </w:r>
            <w:r>
              <w:rPr>
                <w:rFonts w:ascii="宋体" w:hAnsi="宋体" w:cs="宋体" w:eastAsia="宋体" w:hint="default"/>
                <w:sz w:val="18"/>
                <w:szCs w:val="18"/>
              </w:rPr>
              <w:t> </w:t>
            </w:r>
            <w:r>
              <w:rPr>
                <w:rFonts w:ascii="宋体" w:hAnsi="宋体" w:cs="宋体" w:eastAsia="宋体" w:hint="default"/>
                <w:spacing w:val="5"/>
                <w:sz w:val="18"/>
                <w:szCs w:val="18"/>
              </w:rPr>
              <w:t>传输、软</w:t>
            </w:r>
            <w:r>
              <w:rPr>
                <w:rFonts w:ascii="宋体" w:hAnsi="宋体" w:cs="宋体" w:eastAsia="宋体" w:hint="default"/>
                <w:sz w:val="18"/>
                <w:szCs w:val="18"/>
              </w:rPr>
              <w:t> </w:t>
            </w:r>
            <w:r>
              <w:rPr>
                <w:rFonts w:ascii="宋体" w:hAnsi="宋体" w:cs="宋体" w:eastAsia="宋体" w:hint="default"/>
                <w:spacing w:val="5"/>
                <w:sz w:val="18"/>
                <w:szCs w:val="18"/>
              </w:rPr>
              <w:t>件开发及</w:t>
            </w:r>
            <w:r>
              <w:rPr>
                <w:rFonts w:ascii="宋体" w:hAnsi="宋体" w:cs="宋体" w:eastAsia="宋体" w:hint="default"/>
                <w:sz w:val="18"/>
                <w:szCs w:val="18"/>
              </w:rPr>
              <w:t> </w:t>
            </w:r>
            <w:r>
              <w:rPr>
                <w:rFonts w:ascii="宋体" w:hAnsi="宋体" w:cs="宋体" w:eastAsia="宋体" w:hint="default"/>
                <w:spacing w:val="5"/>
                <w:sz w:val="18"/>
                <w:szCs w:val="18"/>
              </w:rPr>
              <w:t>应用、流</w:t>
            </w:r>
            <w:r>
              <w:rPr>
                <w:rFonts w:ascii="宋体" w:hAnsi="宋体" w:cs="宋体" w:eastAsia="宋体" w:hint="default"/>
                <w:sz w:val="18"/>
                <w:szCs w:val="18"/>
              </w:rPr>
              <w:t> </w:t>
            </w:r>
            <w:r>
              <w:rPr>
                <w:rFonts w:ascii="宋体" w:hAnsi="宋体" w:cs="宋体" w:eastAsia="宋体" w:hint="default"/>
                <w:spacing w:val="5"/>
                <w:sz w:val="18"/>
                <w:szCs w:val="18"/>
              </w:rPr>
              <w:t>量经营业</w:t>
            </w:r>
            <w:r>
              <w:rPr>
                <w:rFonts w:ascii="宋体" w:hAnsi="宋体" w:cs="宋体" w:eastAsia="宋体" w:hint="default"/>
                <w:sz w:val="18"/>
                <w:szCs w:val="18"/>
              </w:rPr>
              <w:t> 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27,739,619.34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26,606,740.69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10.32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0.28</w:t>
            </w:r>
          </w:p>
        </w:tc>
      </w:tr>
      <w:tr>
        <w:trPr>
          <w:trHeight w:val="322"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66,636,826.90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65,166,313.88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25.46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25.27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0.19</w:t>
            </w:r>
          </w:p>
        </w:tc>
      </w:tr>
      <w:tr>
        <w:trPr>
          <w:trHeight w:val="322"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-4,191,551.54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-2,472,135.59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-0.96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-0.64</w:t>
            </w:r>
          </w:p>
        </w:tc>
      </w:tr>
      <w:tr>
        <w:trPr>
          <w:trHeight w:val="322"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133,570,943.69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102,248,909.07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51.02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39.64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11.38</w:t>
            </w:r>
          </w:p>
        </w:tc>
      </w:tr>
      <w:tr>
        <w:trPr>
          <w:trHeight w:val="324"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162,554.32</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63,706.11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0.06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0.02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0.04</w:t>
            </w:r>
          </w:p>
        </w:tc>
      </w:tr>
      <w:tr>
        <w:trPr>
          <w:trHeight w:val="322" w:hRule="exact"/>
        </w:trPr>
        <w:tc>
          <w:tcPr>
            <w:tcW w:w="960"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133,733,498.01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102,312,615.18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51.09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39.67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11.42</w:t>
            </w:r>
          </w:p>
        </w:tc>
      </w:tr>
      <w:tr>
        <w:trPr>
          <w:trHeight w:val="322"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5"/>
                <w:sz w:val="18"/>
                <w:szCs w:val="18"/>
              </w:rPr>
              <w:t>长实通信</w:t>
            </w:r>
            <w:r>
              <w:rPr>
                <w:rFonts w:ascii="宋体" w:hAnsi="宋体" w:cs="宋体" w:eastAsia="宋体" w:hint="default"/>
                <w:sz w:val="18"/>
                <w:szCs w:val="18"/>
              </w:rPr>
              <w:t> (</w:t>
            </w:r>
            <w:r>
              <w:rPr>
                <w:rFonts w:ascii="宋体" w:hAnsi="宋体" w:cs="宋体" w:eastAsia="宋体" w:hint="default"/>
                <w:spacing w:val="-51"/>
                <w:sz w:val="18"/>
                <w:szCs w:val="18"/>
              </w:rPr>
              <w:t> </w:t>
            </w:r>
            <w:r>
              <w:rPr>
                <w:rFonts w:ascii="宋体" w:hAnsi="宋体" w:cs="宋体" w:eastAsia="宋体" w:hint="default"/>
                <w:sz w:val="18"/>
                <w:szCs w:val="18"/>
              </w:rPr>
              <w:t>含</w:t>
            </w:r>
            <w:r>
              <w:rPr>
                <w:rFonts w:ascii="宋体" w:hAnsi="宋体" w:cs="宋体" w:eastAsia="宋体" w:hint="default"/>
                <w:spacing w:val="-52"/>
                <w:sz w:val="18"/>
                <w:szCs w:val="18"/>
              </w:rPr>
              <w:t> </w:t>
            </w:r>
            <w:r>
              <w:rPr>
                <w:rFonts w:ascii="宋体" w:hAnsi="宋体" w:cs="宋体" w:eastAsia="宋体" w:hint="default"/>
                <w:sz w:val="18"/>
                <w:szCs w:val="18"/>
              </w:rPr>
              <w:t>通</w:t>
            </w:r>
            <w:r>
              <w:rPr>
                <w:rFonts w:ascii="宋体" w:hAnsi="宋体" w:cs="宋体" w:eastAsia="宋体" w:hint="default"/>
                <w:spacing w:val="-52"/>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5"/>
                <w:sz w:val="18"/>
                <w:szCs w:val="18"/>
              </w:rPr>
              <w:t>网络维护</w:t>
            </w:r>
            <w:r>
              <w:rPr>
                <w:rFonts w:ascii="宋体" w:hAnsi="宋体" w:cs="宋体" w:eastAsia="宋体" w:hint="default"/>
                <w:sz w:val="18"/>
                <w:szCs w:val="18"/>
              </w:rPr>
              <w:t> </w:t>
            </w:r>
            <w:r>
              <w:rPr>
                <w:rFonts w:ascii="宋体" w:hAnsi="宋体" w:cs="宋体" w:eastAsia="宋体" w:hint="default"/>
                <w:spacing w:val="5"/>
                <w:sz w:val="18"/>
                <w:szCs w:val="18"/>
              </w:rPr>
              <w:t>业务、相</w:t>
            </w:r>
            <w:r>
              <w:rPr>
                <w:rFonts w:ascii="宋体" w:hAnsi="宋体" w:cs="宋体" w:eastAsia="宋体" w:hint="default"/>
                <w:sz w:val="18"/>
                <w:szCs w:val="18"/>
              </w:rPr>
              <w:t> </w:t>
            </w:r>
            <w:r>
              <w:rPr>
                <w:rFonts w:ascii="宋体" w:hAnsi="宋体" w:cs="宋体" w:eastAsia="宋体" w:hint="default"/>
                <w:spacing w:val="5"/>
                <w:sz w:val="18"/>
                <w:szCs w:val="18"/>
              </w:rPr>
              <w:t>关工程业</w:t>
            </w:r>
            <w:r>
              <w:rPr>
                <w:rFonts w:ascii="宋体" w:hAnsi="宋体" w:cs="宋体" w:eastAsia="宋体" w:hint="default"/>
                <w:sz w:val="18"/>
                <w:szCs w:val="18"/>
              </w:rPr>
              <w:t> 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3,885,218.34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3,271,426.74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1.27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0.21</w:t>
            </w:r>
          </w:p>
        </w:tc>
      </w:tr>
      <w:tr>
        <w:trPr>
          <w:trHeight w:val="322"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110,075,012.06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103,354,535.15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42.05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40.07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1.98</w:t>
            </w:r>
          </w:p>
        </w:tc>
      </w:tr>
      <w:tr>
        <w:trPr>
          <w:trHeight w:val="322"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121,613.67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1,944,272.74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0.75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-0.70</w:t>
            </w:r>
          </w:p>
        </w:tc>
      </w:tr>
      <w:tr>
        <w:trPr>
          <w:trHeight w:val="322"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136,539,483.42</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120,009,126.74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52.16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46.53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5.63</w:t>
            </w:r>
          </w:p>
        </w:tc>
      </w:tr>
      <w:tr>
        <w:trPr>
          <w:trHeight w:val="324" w:hRule="exact"/>
        </w:trPr>
        <w:tc>
          <w:tcPr>
            <w:tcW w:w="960" w:type="dxa"/>
            <w:vMerge/>
            <w:tcBorders>
              <w:left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2,679,000.75</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5,243,578.38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2.03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-1.01</w:t>
            </w:r>
          </w:p>
        </w:tc>
      </w:tr>
      <w:tr>
        <w:trPr>
          <w:trHeight w:val="322" w:hRule="exact"/>
        </w:trPr>
        <w:tc>
          <w:tcPr>
            <w:tcW w:w="960"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139,218,484.17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125,252,705.12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53.18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48.56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4.62</w:t>
            </w:r>
          </w:p>
        </w:tc>
      </w:tr>
      <w:tr>
        <w:trPr>
          <w:trHeight w:val="710"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12"/>
                <w:sz w:val="18"/>
                <w:szCs w:val="18"/>
              </w:rPr>
              <w:t> </w:t>
            </w:r>
            <w:r>
              <w:rPr>
                <w:rFonts w:ascii="宋体" w:hAnsi="宋体" w:cs="宋体" w:eastAsia="宋体" w:hint="default"/>
                <w:spacing w:val="7"/>
                <w:sz w:val="18"/>
                <w:szCs w:val="18"/>
              </w:rPr>
              <w:t>年重大资产出售于上年</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14"/>
                <w:sz w:val="18"/>
                <w:szCs w:val="18"/>
              </w:rPr>
              <w:t>同期按约收到的应收交易款</w:t>
            </w:r>
            <w:r>
              <w:rPr>
                <w:rFonts w:ascii="宋体" w:hAnsi="宋体" w:cs="宋体" w:eastAsia="宋体" w:hint="default"/>
                <w:sz w:val="18"/>
                <w:szCs w:val="18"/>
              </w:rPr>
              <w:t> 而转回的上期坏账准备</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35,146,890.00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13.63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-13.63</w:t>
            </w:r>
          </w:p>
        </w:tc>
      </w:tr>
      <w:tr>
        <w:trPr>
          <w:trHeight w:val="478"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公司利润总额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261,778,340.29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257,925,187.92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100.00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326" w:lineRule="auto" w:before="36"/>
        <w:ind w:left="813" w:right="5868"/>
        <w:jc w:val="left"/>
      </w:pPr>
      <w:r>
        <w:rPr/>
        <w:t>(二)</w:t>
      </w:r>
      <w:r>
        <w:rPr>
          <w:spacing w:val="-2"/>
        </w:rPr>
        <w:t> </w:t>
      </w:r>
      <w:r>
        <w:rPr/>
        <w:t>收入与成本</w:t>
      </w:r>
      <w:r>
        <w:rPr>
          <w:spacing w:val="-103"/>
        </w:rPr>
        <w:t> </w:t>
      </w:r>
      <w:r>
        <w:rPr>
          <w:spacing w:val="-103"/>
        </w:rPr>
      </w:r>
      <w:r>
        <w:rPr>
          <w:spacing w:val="-2"/>
        </w:rPr>
        <w:t>1、营业收入构成(单位：元)</w:t>
      </w:r>
    </w:p>
    <w:tbl>
      <w:tblPr>
        <w:tblW w:w="0" w:type="auto"/>
        <w:jc w:val="left"/>
        <w:tblInd w:w="105" w:type="dxa"/>
        <w:tblLayout w:type="fixed"/>
        <w:tblCellMar>
          <w:top w:w="0" w:type="dxa"/>
          <w:left w:w="0" w:type="dxa"/>
          <w:bottom w:w="0" w:type="dxa"/>
          <w:right w:w="0" w:type="dxa"/>
        </w:tblCellMar>
        <w:tblLook w:val="01E0"/>
      </w:tblPr>
      <w:tblGrid>
        <w:gridCol w:w="1843"/>
        <w:gridCol w:w="1786"/>
        <w:gridCol w:w="1498"/>
        <w:gridCol w:w="1750"/>
        <w:gridCol w:w="1488"/>
        <w:gridCol w:w="1274"/>
      </w:tblGrid>
      <w:tr>
        <w:trPr>
          <w:trHeight w:val="324" w:hRule="exact"/>
        </w:trPr>
        <w:tc>
          <w:tcPr>
            <w:tcW w:w="1843" w:type="dxa"/>
            <w:vMerge w:val="restart"/>
            <w:tcBorders>
              <w:top w:val="single" w:sz="4" w:space="0" w:color="000000"/>
              <w:left w:val="single" w:sz="4" w:space="0" w:color="000000"/>
              <w:right w:val="single" w:sz="4" w:space="0" w:color="000000"/>
            </w:tcBorders>
          </w:tcPr>
          <w:p>
            <w:pPr/>
          </w:p>
        </w:tc>
        <w:tc>
          <w:tcPr>
            <w:tcW w:w="32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843" w:type="dxa"/>
            <w:vMerge/>
            <w:tcBorders>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274" w:type="dxa"/>
            <w:vMerge/>
            <w:tcBorders>
              <w:left w:val="single" w:sz="4" w:space="0" w:color="000000"/>
              <w:bottom w:val="single" w:sz="4" w:space="0" w:color="000000"/>
              <w:right w:val="single" w:sz="4" w:space="0" w:color="000000"/>
            </w:tcBorders>
          </w:tcPr>
          <w:p>
            <w:pP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2,107,385,087.61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1,814,658,054.48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16.13</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1、信息智能传输</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538,073,356.91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25.53%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519,326,712.95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28.62%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3.61</w:t>
            </w:r>
          </w:p>
        </w:tc>
      </w:tr>
      <w:tr>
        <w:trPr>
          <w:trHeight w:val="34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其中：短信发送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497,892,710.14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23.63%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486,413,750.43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26.80%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z w:val="18"/>
              </w:rPr>
              <w:t>2.36</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2、软件开发及应用</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97,522,827.81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4.63%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71,331,802.94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z w:val="18"/>
              </w:rPr>
              <w:t>36.72</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3、流量经营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67,380,492.82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3.20%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20,387,780.99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z w:val="18"/>
              </w:rPr>
              <w:t>230.49</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4、通信网络维护</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1,357,197,126.51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64.40%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1,203,611,757.60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66.33%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z w:val="18"/>
              </w:rPr>
              <w:t>12.76</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5、相关工程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46,960,471.90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2.24%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hAnsi="宋体" w:cs="宋体" w:eastAsia="宋体" w:hint="default"/>
                <w:sz w:val="18"/>
                <w:szCs w:val="18"/>
              </w:rPr>
              <w:t>＞100.00</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分产品(不适用)</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长江以南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1,050,932,692.87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49.87%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912,498,418.65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50.28%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z w:val="18"/>
              </w:rPr>
              <w:t>15.17</w:t>
            </w:r>
          </w:p>
        </w:tc>
      </w:tr>
      <w:tr>
        <w:trPr>
          <w:trHeight w:val="3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长江以北</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353,329,670.63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16.77%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291,113,338.95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16.04%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z w:val="18"/>
              </w:rPr>
              <w:t>21.37</w:t>
            </w:r>
          </w:p>
        </w:tc>
      </w:tr>
    </w:tbl>
    <w:p>
      <w:pPr>
        <w:spacing w:line="240" w:lineRule="auto" w:before="6"/>
        <w:rPr>
          <w:rFonts w:ascii="宋体" w:hAnsi="宋体" w:cs="宋体" w:eastAsia="宋体" w:hint="default"/>
          <w:sz w:val="27"/>
          <w:szCs w:val="27"/>
        </w:rPr>
      </w:pPr>
    </w:p>
    <w:p>
      <w:pPr>
        <w:pStyle w:val="BodyText"/>
        <w:spacing w:line="240" w:lineRule="auto" w:before="36"/>
        <w:ind w:left="813" w:right="1174"/>
        <w:jc w:val="left"/>
      </w:pPr>
      <w:r>
        <w:rPr>
          <w:spacing w:val="-2"/>
        </w:rPr>
        <w:t>2、占公司营业收入或营业利润</w:t>
      </w:r>
      <w:r>
        <w:rPr>
          <w:spacing w:val="1"/>
        </w:rPr>
        <w:t> </w:t>
      </w:r>
      <w:r>
        <w:rPr>
          <w:spacing w:val="-2"/>
        </w:rPr>
        <w:t>10%以上的行业、产品或地区情况</w:t>
      </w:r>
    </w:p>
    <w:p>
      <w:pPr>
        <w:spacing w:after="0" w:line="240" w:lineRule="auto"/>
        <w:jc w:val="left"/>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60"/>
        <w:gridCol w:w="1843"/>
        <w:gridCol w:w="1843"/>
        <w:gridCol w:w="991"/>
        <w:gridCol w:w="1133"/>
        <w:gridCol w:w="1135"/>
        <w:gridCol w:w="1133"/>
      </w:tblGrid>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55" w:right="218" w:hanging="135"/>
              <w:jc w:val="left"/>
              <w:rPr>
                <w:rFonts w:ascii="宋体" w:hAnsi="宋体" w:cs="宋体" w:eastAsia="宋体" w:hint="default"/>
                <w:sz w:val="18"/>
                <w:szCs w:val="18"/>
              </w:rPr>
            </w:pPr>
            <w:r>
              <w:rPr>
                <w:rFonts w:ascii="宋体" w:hAnsi="宋体" w:cs="宋体" w:eastAsia="宋体" w:hint="default"/>
                <w:sz w:val="18"/>
                <w:szCs w:val="18"/>
              </w:rPr>
              <w:t>毛利率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营业收入比</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3"/>
                <w:sz w:val="18"/>
                <w:szCs w:val="18"/>
              </w:rPr>
              <w:t>上年同期增</w:t>
            </w:r>
            <w:r>
              <w:rPr>
                <w:rFonts w:ascii="宋体" w:hAnsi="宋体" w:cs="宋体" w:eastAsia="宋体" w:hint="default"/>
                <w:sz w:val="18"/>
                <w:szCs w:val="18"/>
              </w:rPr>
              <w:t> 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营业成本比</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3"/>
                <w:sz w:val="18"/>
                <w:szCs w:val="18"/>
              </w:rPr>
              <w:t>上年同期增</w:t>
            </w:r>
            <w:r>
              <w:rPr>
                <w:rFonts w:ascii="宋体" w:hAnsi="宋体" w:cs="宋体" w:eastAsia="宋体" w:hint="default"/>
                <w:sz w:val="18"/>
                <w:szCs w:val="18"/>
              </w:rPr>
              <w:t> 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毛利率比上</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3"/>
                <w:sz w:val="18"/>
                <w:szCs w:val="18"/>
              </w:rPr>
              <w:t>年同期增减</w:t>
            </w:r>
            <w:r>
              <w:rPr>
                <w:rFonts w:ascii="宋体" w:hAnsi="宋体" w:cs="宋体" w:eastAsia="宋体" w:hint="default"/>
                <w:sz w:val="18"/>
                <w:szCs w:val="18"/>
              </w:rPr>
              <w:t> 百分点</w:t>
            </w:r>
          </w:p>
        </w:tc>
      </w:tr>
      <w:tr>
        <w:trPr>
          <w:trHeight w:val="322" w:hRule="exact"/>
        </w:trPr>
        <w:tc>
          <w:tcPr>
            <w:tcW w:w="96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1.信息智能传输</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538,073,356.91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342,928,839.23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36.27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0.82</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其中：短(彩)信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497,892,710.14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342,928,839.23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31.12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0.04</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2.通信网络维护</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1,357,197,126.51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1,105,624,889.67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18.54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12.76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14.90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-1.51</w:t>
            </w:r>
          </w:p>
        </w:tc>
      </w:tr>
      <w:tr>
        <w:trPr>
          <w:trHeight w:val="322" w:hRule="exact"/>
        </w:trPr>
        <w:tc>
          <w:tcPr>
            <w:tcW w:w="96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分产品(不适用)</w:t>
            </w:r>
          </w:p>
        </w:tc>
      </w:tr>
      <w:tr>
        <w:trPr>
          <w:trHeight w:val="322" w:hRule="exact"/>
        </w:trPr>
        <w:tc>
          <w:tcPr>
            <w:tcW w:w="96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长江以南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1,003,972,220.97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801,028,712.24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0.40</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长江以北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353,329,670.63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304,655,632.80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13.78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21.37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-6.12</w:t>
            </w:r>
          </w:p>
        </w:tc>
      </w:tr>
    </w:tbl>
    <w:p>
      <w:pPr>
        <w:pStyle w:val="BodyText"/>
        <w:spacing w:line="273" w:lineRule="auto" w:before="81"/>
        <w:ind w:left="393" w:right="342" w:firstLine="420"/>
        <w:jc w:val="left"/>
      </w:pPr>
      <w:r>
        <w:rPr>
          <w:spacing w:val="-2"/>
        </w:rPr>
        <w:t>上表中信息传输、短信收入业务的毛利率提高是因短信收入的采购成本有所下降；通信网络维</w:t>
      </w:r>
      <w:r>
        <w:rPr>
          <w:w w:val="100"/>
        </w:rPr>
        <w:t> </w:t>
      </w:r>
      <w:r>
        <w:rPr/>
        <w:t>护业务毛利下降是因客户结算单价有所下降及成本中原材料支出有所上升。</w:t>
      </w:r>
    </w:p>
    <w:p>
      <w:pPr>
        <w:pStyle w:val="BodyText"/>
        <w:tabs>
          <w:tab w:pos="5433" w:val="left" w:leader="none"/>
        </w:tabs>
        <w:spacing w:line="240" w:lineRule="auto" w:before="164"/>
        <w:ind w:left="813" w:right="1174"/>
        <w:jc w:val="left"/>
      </w:pPr>
      <w:r>
        <w:rPr/>
        <w:t>3、公司实物销售收入是否大于劳务收入：□</w:t>
      </w:r>
      <w:r>
        <w:rPr>
          <w:spacing w:val="-5"/>
        </w:rPr>
        <w:t> </w:t>
      </w:r>
      <w:r>
        <w:rPr/>
        <w:t>是</w:t>
        <w:tab/>
        <w:t>√</w:t>
      </w:r>
      <w:r>
        <w:rPr>
          <w:spacing w:val="1"/>
        </w:rPr>
        <w:t> </w:t>
      </w:r>
      <w:r>
        <w:rPr/>
        <w:t>否。</w:t>
      </w:r>
    </w:p>
    <w:p>
      <w:pPr>
        <w:spacing w:line="240" w:lineRule="auto" w:before="10"/>
        <w:rPr>
          <w:rFonts w:ascii="宋体" w:hAnsi="宋体" w:cs="宋体" w:eastAsia="宋体" w:hint="default"/>
          <w:sz w:val="14"/>
          <w:szCs w:val="14"/>
        </w:rPr>
      </w:pPr>
    </w:p>
    <w:p>
      <w:pPr>
        <w:pStyle w:val="BodyText"/>
        <w:tabs>
          <w:tab w:pos="7116" w:val="left" w:leader="none"/>
        </w:tabs>
        <w:spacing w:line="273" w:lineRule="auto" w:before="0"/>
        <w:ind w:left="813" w:right="1801"/>
        <w:jc w:val="left"/>
      </w:pPr>
      <w:r>
        <w:rPr/>
        <w:t>4、公司已签订的重大销售合同截至本报告期的履行情况：√</w:t>
      </w:r>
      <w:r>
        <w:rPr>
          <w:spacing w:val="-4"/>
        </w:rPr>
        <w:t> </w:t>
      </w:r>
      <w:r>
        <w:rPr/>
        <w:t>适用</w:t>
        <w:tab/>
        <w:t>□</w:t>
      </w:r>
      <w:r>
        <w:rPr>
          <w:spacing w:val="-1"/>
        </w:rPr>
        <w:t> </w:t>
      </w:r>
      <w:r>
        <w:rPr/>
        <w:t>不适用</w:t>
      </w:r>
      <w:r>
        <w:rPr>
          <w:w w:val="100"/>
        </w:rPr>
        <w:t> </w:t>
      </w:r>
      <w:r>
        <w:rPr/>
        <w:t>(1)</w:t>
      </w:r>
      <w:r>
        <w:rPr>
          <w:spacing w:val="-3"/>
        </w:rPr>
        <w:t> </w:t>
      </w:r>
      <w:r>
        <w:rPr/>
        <w:t>全资子公司长实通信中标后签订的较大销售合同见下表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18"/>
        <w:gridCol w:w="139"/>
        <w:gridCol w:w="505"/>
        <w:gridCol w:w="3323"/>
        <w:gridCol w:w="1843"/>
        <w:gridCol w:w="2410"/>
      </w:tblGrid>
      <w:tr>
        <w:trPr>
          <w:trHeight w:val="324"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合同订立双方名称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left"/>
              <w:rPr>
                <w:rFonts w:ascii="宋体" w:hAnsi="宋体" w:cs="宋体" w:eastAsia="宋体" w:hint="default"/>
                <w:sz w:val="18"/>
                <w:szCs w:val="18"/>
              </w:rPr>
            </w:pPr>
            <w:r>
              <w:rPr>
                <w:rFonts w:ascii="宋体" w:hAnsi="宋体" w:cs="宋体" w:eastAsia="宋体" w:hint="default"/>
                <w:sz w:val="18"/>
                <w:szCs w:val="18"/>
              </w:rPr>
              <w:t>甲方：中国移动通信集团广东有限公司； </w:t>
            </w:r>
            <w:r>
              <w:rPr>
                <w:rFonts w:ascii="宋体" w:hAnsi="宋体" w:cs="宋体" w:eastAsia="宋体" w:hint="default"/>
                <w:spacing w:val="2"/>
                <w:sz w:val="18"/>
                <w:szCs w:val="18"/>
              </w:rPr>
              <w:t> </w:t>
            </w:r>
            <w:r>
              <w:rPr>
                <w:rFonts w:ascii="宋体" w:hAnsi="宋体" w:cs="宋体" w:eastAsia="宋体" w:hint="default"/>
                <w:sz w:val="18"/>
                <w:szCs w:val="18"/>
              </w:rPr>
              <w:t>乙方：长实通信</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8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2015-2016</w:t>
            </w:r>
            <w:r>
              <w:rPr>
                <w:rFonts w:ascii="宋体" w:hAnsi="宋体" w:cs="宋体" w:eastAsia="宋体" w:hint="default"/>
                <w:spacing w:val="-49"/>
                <w:sz w:val="18"/>
                <w:szCs w:val="18"/>
              </w:rPr>
              <w:t> </w:t>
            </w:r>
            <w:r>
              <w:rPr>
                <w:rFonts w:ascii="宋体" w:hAnsi="宋体" w:cs="宋体" w:eastAsia="宋体" w:hint="default"/>
                <w:sz w:val="18"/>
                <w:szCs w:val="18"/>
              </w:rPr>
              <w:t>年网络综合代维服务项目框架标的合同(简称综合代维一)</w:t>
            </w:r>
          </w:p>
        </w:tc>
      </w:tr>
      <w:tr>
        <w:trPr>
          <w:trHeight w:val="322" w:hRule="exact"/>
        </w:trPr>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预估总金额(元)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454,088,448.00</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合同订立双方名称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left"/>
              <w:rPr>
                <w:rFonts w:ascii="宋体" w:hAnsi="宋体" w:cs="宋体" w:eastAsia="宋体" w:hint="default"/>
                <w:sz w:val="18"/>
                <w:szCs w:val="18"/>
              </w:rPr>
            </w:pPr>
            <w:r>
              <w:rPr>
                <w:rFonts w:ascii="宋体" w:hAnsi="宋体" w:cs="宋体" w:eastAsia="宋体" w:hint="default"/>
                <w:sz w:val="18"/>
                <w:szCs w:val="18"/>
              </w:rPr>
              <w:t>甲方：中国移动通信集团安徽有限公司； </w:t>
            </w:r>
            <w:r>
              <w:rPr>
                <w:rFonts w:ascii="宋体" w:hAnsi="宋体" w:cs="宋体" w:eastAsia="宋体" w:hint="default"/>
                <w:spacing w:val="2"/>
                <w:sz w:val="18"/>
                <w:szCs w:val="18"/>
              </w:rPr>
              <w:t> </w:t>
            </w:r>
            <w:r>
              <w:rPr>
                <w:rFonts w:ascii="宋体" w:hAnsi="宋体" w:cs="宋体" w:eastAsia="宋体" w:hint="default"/>
                <w:sz w:val="18"/>
                <w:szCs w:val="18"/>
              </w:rPr>
              <w:t>乙方：长实通信</w:t>
            </w:r>
          </w:p>
        </w:tc>
      </w:tr>
      <w:tr>
        <w:trPr>
          <w:trHeight w:val="322"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left"/>
              <w:rPr>
                <w:rFonts w:ascii="宋体" w:hAnsi="宋体" w:cs="宋体" w:eastAsia="宋体" w:hint="default"/>
                <w:sz w:val="18"/>
                <w:szCs w:val="18"/>
              </w:rPr>
            </w:pPr>
            <w:r>
              <w:rPr>
                <w:rFonts w:ascii="宋体" w:hAnsi="宋体" w:cs="宋体" w:eastAsia="宋体" w:hint="default"/>
                <w:sz w:val="18"/>
                <w:szCs w:val="18"/>
              </w:rPr>
              <w:t>中国移动</w:t>
            </w:r>
            <w:r>
              <w:rPr>
                <w:rFonts w:ascii="宋体" w:hAnsi="宋体" w:cs="宋体" w:eastAsia="宋体" w:hint="default"/>
                <w:spacing w:val="-46"/>
                <w:sz w:val="18"/>
                <w:szCs w:val="18"/>
              </w:rPr>
              <w:t> </w:t>
            </w:r>
            <w:r>
              <w:rPr>
                <w:rFonts w:ascii="宋体" w:hAnsi="宋体" w:cs="宋体" w:eastAsia="宋体" w:hint="default"/>
                <w:sz w:val="18"/>
                <w:szCs w:val="18"/>
              </w:rPr>
              <w:t>2015-2018</w:t>
            </w:r>
            <w:r>
              <w:rPr>
                <w:rFonts w:ascii="宋体" w:hAnsi="宋体" w:cs="宋体" w:eastAsia="宋体" w:hint="default"/>
                <w:spacing w:val="-46"/>
                <w:sz w:val="18"/>
                <w:szCs w:val="18"/>
              </w:rPr>
              <w:t> </w:t>
            </w:r>
            <w:r>
              <w:rPr>
                <w:rFonts w:ascii="宋体" w:hAnsi="宋体" w:cs="宋体" w:eastAsia="宋体" w:hint="default"/>
                <w:sz w:val="18"/>
                <w:szCs w:val="18"/>
              </w:rPr>
              <w:t>年网络综合代维服务集中采购(安徽包段)框架协议(简称综合代维二)</w:t>
            </w:r>
          </w:p>
        </w:tc>
      </w:tr>
      <w:tr>
        <w:trPr>
          <w:trHeight w:val="324" w:hRule="exact"/>
        </w:trPr>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合同金额上限(元)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201,942,000.00</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合同订立双方名称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left"/>
              <w:rPr>
                <w:rFonts w:ascii="宋体" w:hAnsi="宋体" w:cs="宋体" w:eastAsia="宋体" w:hint="default"/>
                <w:sz w:val="18"/>
                <w:szCs w:val="18"/>
              </w:rPr>
            </w:pPr>
            <w:r>
              <w:rPr>
                <w:rFonts w:ascii="宋体" w:hAnsi="宋体" w:cs="宋体" w:eastAsia="宋体" w:hint="default"/>
                <w:sz w:val="18"/>
                <w:szCs w:val="18"/>
              </w:rPr>
              <w:t>甲方：中国联合网络通信有限公司广东省分公司；</w:t>
            </w:r>
            <w:r>
              <w:rPr>
                <w:rFonts w:ascii="宋体" w:hAnsi="宋体" w:cs="宋体" w:eastAsia="宋体" w:hint="default"/>
                <w:spacing w:val="89"/>
                <w:sz w:val="18"/>
                <w:szCs w:val="18"/>
              </w:rPr>
              <w:t> </w:t>
            </w:r>
            <w:r>
              <w:rPr>
                <w:rFonts w:ascii="宋体" w:hAnsi="宋体" w:cs="宋体" w:eastAsia="宋体" w:hint="default"/>
                <w:sz w:val="18"/>
                <w:szCs w:val="18"/>
              </w:rPr>
              <w:t>乙方：长实通信</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8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广东联通</w:t>
            </w:r>
            <w:r>
              <w:rPr>
                <w:rFonts w:ascii="宋体" w:hAnsi="宋体" w:cs="宋体" w:eastAsia="宋体" w:hint="default"/>
                <w:spacing w:val="-46"/>
                <w:sz w:val="18"/>
                <w:szCs w:val="18"/>
              </w:rPr>
              <w:t> </w:t>
            </w:r>
            <w:r>
              <w:rPr>
                <w:rFonts w:ascii="宋体" w:hAnsi="宋体" w:cs="宋体" w:eastAsia="宋体" w:hint="default"/>
                <w:sz w:val="18"/>
                <w:szCs w:val="18"/>
              </w:rPr>
              <w:t>2017-2018</w:t>
            </w:r>
            <w:r>
              <w:rPr>
                <w:rFonts w:ascii="宋体" w:hAnsi="宋体" w:cs="宋体" w:eastAsia="宋体" w:hint="default"/>
                <w:spacing w:val="-46"/>
                <w:sz w:val="18"/>
                <w:szCs w:val="18"/>
              </w:rPr>
              <w:t> </w:t>
            </w:r>
            <w:r>
              <w:rPr>
                <w:rFonts w:ascii="宋体" w:hAnsi="宋体" w:cs="宋体" w:eastAsia="宋体" w:hint="default"/>
                <w:sz w:val="18"/>
                <w:szCs w:val="18"/>
              </w:rPr>
              <w:t>年本地网综合代维采购框架协议(简称综合代维三)</w:t>
            </w:r>
          </w:p>
        </w:tc>
      </w:tr>
      <w:tr>
        <w:trPr>
          <w:trHeight w:val="322" w:hRule="exact"/>
        </w:trPr>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预计金额上限(元)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228,140,000.00</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合同订立双方名称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left"/>
              <w:rPr>
                <w:rFonts w:ascii="宋体" w:hAnsi="宋体" w:cs="宋体" w:eastAsia="宋体" w:hint="default"/>
                <w:sz w:val="18"/>
                <w:szCs w:val="18"/>
              </w:rPr>
            </w:pPr>
            <w:r>
              <w:rPr>
                <w:rFonts w:ascii="宋体" w:hAnsi="宋体" w:cs="宋体" w:eastAsia="宋体" w:hint="default"/>
                <w:sz w:val="18"/>
                <w:szCs w:val="18"/>
              </w:rPr>
              <w:t>甲方：中国移动通信集团广东有限公司； </w:t>
            </w:r>
            <w:r>
              <w:rPr>
                <w:rFonts w:ascii="宋体" w:hAnsi="宋体" w:cs="宋体" w:eastAsia="宋体" w:hint="default"/>
                <w:spacing w:val="2"/>
                <w:sz w:val="18"/>
                <w:szCs w:val="18"/>
              </w:rPr>
              <w:t> </w:t>
            </w:r>
            <w:r>
              <w:rPr>
                <w:rFonts w:ascii="宋体" w:hAnsi="宋体" w:cs="宋体" w:eastAsia="宋体" w:hint="default"/>
                <w:sz w:val="18"/>
                <w:szCs w:val="18"/>
              </w:rPr>
              <w:t>乙方：长实通信</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8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r>
              <w:rPr>
                <w:rFonts w:ascii="宋体" w:hAnsi="宋体" w:cs="宋体" w:eastAsia="宋体" w:hint="default"/>
                <w:spacing w:val="-46"/>
                <w:sz w:val="18"/>
                <w:szCs w:val="18"/>
              </w:rPr>
              <w:t> </w:t>
            </w:r>
            <w:r>
              <w:rPr>
                <w:rFonts w:ascii="宋体" w:hAnsi="宋体" w:cs="宋体" w:eastAsia="宋体" w:hint="default"/>
                <w:sz w:val="18"/>
                <w:szCs w:val="18"/>
              </w:rPr>
              <w:t>2017-2019</w:t>
            </w:r>
            <w:r>
              <w:rPr>
                <w:rFonts w:ascii="宋体" w:hAnsi="宋体" w:cs="宋体" w:eastAsia="宋体" w:hint="default"/>
                <w:spacing w:val="-46"/>
                <w:sz w:val="18"/>
                <w:szCs w:val="18"/>
              </w:rPr>
              <w:t> </w:t>
            </w:r>
            <w:r>
              <w:rPr>
                <w:rFonts w:ascii="宋体" w:hAnsi="宋体" w:cs="宋体" w:eastAsia="宋体" w:hint="default"/>
                <w:sz w:val="18"/>
                <w:szCs w:val="18"/>
              </w:rPr>
              <w:t>年网络综合代维服务采购(简称综合代维四)</w:t>
            </w: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39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预计金额上限(元)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323,808,100.00</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⑤合同订立双方名称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6" w:right="0"/>
              <w:jc w:val="left"/>
              <w:rPr>
                <w:rFonts w:ascii="宋体" w:hAnsi="宋体" w:cs="宋体" w:eastAsia="宋体" w:hint="default"/>
                <w:sz w:val="18"/>
                <w:szCs w:val="18"/>
              </w:rPr>
            </w:pPr>
            <w:r>
              <w:rPr>
                <w:rFonts w:ascii="宋体" w:hAnsi="宋体" w:cs="宋体" w:eastAsia="宋体" w:hint="default"/>
                <w:sz w:val="18"/>
                <w:szCs w:val="18"/>
              </w:rPr>
              <w:t>甲方：中移铁通广东省分公司； </w:t>
            </w:r>
            <w:r>
              <w:rPr>
                <w:rFonts w:ascii="宋体" w:hAnsi="宋体" w:cs="宋体" w:eastAsia="宋体" w:hint="default"/>
                <w:spacing w:val="2"/>
                <w:sz w:val="18"/>
                <w:szCs w:val="18"/>
              </w:rPr>
              <w:t> </w:t>
            </w:r>
            <w:r>
              <w:rPr>
                <w:rFonts w:ascii="宋体" w:hAnsi="宋体" w:cs="宋体" w:eastAsia="宋体" w:hint="default"/>
                <w:sz w:val="18"/>
                <w:szCs w:val="18"/>
              </w:rPr>
              <w:t>乙方：长实通信</w:t>
            </w:r>
          </w:p>
        </w:tc>
      </w:tr>
      <w:tr>
        <w:trPr>
          <w:trHeight w:val="634"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7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6" w:right="101"/>
              <w:jc w:val="left"/>
              <w:rPr>
                <w:rFonts w:ascii="宋体" w:hAnsi="宋体" w:cs="宋体" w:eastAsia="宋体" w:hint="default"/>
                <w:sz w:val="18"/>
                <w:szCs w:val="18"/>
              </w:rPr>
            </w:pPr>
            <w:r>
              <w:rPr>
                <w:rFonts w:ascii="宋体" w:hAnsi="宋体" w:cs="宋体" w:eastAsia="宋体" w:hint="default"/>
                <w:sz w:val="18"/>
                <w:szCs w:val="18"/>
              </w:rPr>
              <w:t>中移铁通广东分公司</w:t>
            </w:r>
            <w:r>
              <w:rPr>
                <w:rFonts w:ascii="宋体" w:hAnsi="宋体" w:cs="宋体" w:eastAsia="宋体" w:hint="default"/>
                <w:spacing w:val="-67"/>
                <w:sz w:val="18"/>
                <w:szCs w:val="18"/>
              </w:rPr>
              <w:t> </w:t>
            </w: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z w:val="18"/>
                <w:szCs w:val="18"/>
              </w:rPr>
              <w:t>年下半年至</w:t>
            </w:r>
            <w:r>
              <w:rPr>
                <w:rFonts w:ascii="宋体" w:hAnsi="宋体" w:cs="宋体" w:eastAsia="宋体" w:hint="default"/>
                <w:spacing w:val="-67"/>
                <w:sz w:val="18"/>
                <w:szCs w:val="18"/>
              </w:rPr>
              <w:t> </w:t>
            </w:r>
            <w:r>
              <w:rPr>
                <w:rFonts w:ascii="宋体" w:hAnsi="宋体" w:cs="宋体" w:eastAsia="宋体" w:hint="default"/>
                <w:sz w:val="18"/>
                <w:szCs w:val="18"/>
              </w:rPr>
              <w:t>2019</w:t>
            </w:r>
            <w:r>
              <w:rPr>
                <w:rFonts w:ascii="宋体" w:hAnsi="宋体" w:cs="宋体" w:eastAsia="宋体" w:hint="default"/>
                <w:spacing w:val="-67"/>
                <w:sz w:val="18"/>
                <w:szCs w:val="18"/>
              </w:rPr>
              <w:t> </w:t>
            </w:r>
            <w:r>
              <w:rPr>
                <w:rFonts w:ascii="宋体" w:hAnsi="宋体" w:cs="宋体" w:eastAsia="宋体" w:hint="default"/>
                <w:sz w:val="18"/>
                <w:szCs w:val="18"/>
              </w:rPr>
              <w:t>年上半年营装维服续综合业务劳务分包项目采购框</w:t>
            </w:r>
            <w:r>
              <w:rPr>
                <w:rFonts w:ascii="宋体" w:hAnsi="宋体" w:cs="宋体" w:eastAsia="宋体" w:hint="default"/>
                <w:sz w:val="18"/>
                <w:szCs w:val="18"/>
              </w:rPr>
              <w:t> 架合同(简称综合代维五)</w:t>
            </w:r>
          </w:p>
        </w:tc>
      </w:tr>
      <w:tr>
        <w:trPr>
          <w:trHeight w:val="324" w:hRule="exact"/>
        </w:trPr>
        <w:tc>
          <w:tcPr>
            <w:tcW w:w="20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合同执行期限</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预计金额上限(元)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554,940,000.00</w:t>
            </w:r>
          </w:p>
        </w:tc>
      </w:tr>
    </w:tbl>
    <w:p>
      <w:pPr>
        <w:spacing w:line="240" w:lineRule="auto" w:before="7"/>
        <w:rPr>
          <w:rFonts w:ascii="宋体" w:hAnsi="宋体" w:cs="宋体" w:eastAsia="宋体" w:hint="default"/>
          <w:sz w:val="22"/>
          <w:szCs w:val="22"/>
        </w:rPr>
      </w:pPr>
    </w:p>
    <w:p>
      <w:pPr>
        <w:pStyle w:val="BodyText"/>
        <w:spacing w:line="240" w:lineRule="auto" w:before="36"/>
        <w:ind w:left="813" w:right="1174"/>
        <w:jc w:val="left"/>
      </w:pPr>
      <w:r>
        <w:rPr/>
        <w:t>(2) 报告期内上述未完工合同项目情况</w:t>
      </w:r>
      <w:r>
        <w:rPr>
          <w:spacing w:val="-5"/>
        </w:rPr>
        <w:t> </w:t>
      </w:r>
      <w:r>
        <w:rPr/>
        <w:t>(金额单位：万元)</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135"/>
        <w:gridCol w:w="1500"/>
        <w:gridCol w:w="967"/>
        <w:gridCol w:w="1147"/>
        <w:gridCol w:w="1370"/>
        <w:gridCol w:w="1303"/>
        <w:gridCol w:w="1082"/>
        <w:gridCol w:w="1133"/>
      </w:tblGrid>
      <w:tr>
        <w:trPr>
          <w:trHeight w:val="353" w:hRule="exact"/>
        </w:trPr>
        <w:tc>
          <w:tcPr>
            <w:tcW w:w="2635" w:type="dxa"/>
            <w:gridSpan w:val="2"/>
            <w:tcBorders>
              <w:top w:val="single" w:sz="4" w:space="0" w:color="000000"/>
              <w:left w:val="single" w:sz="4" w:space="0" w:color="000000"/>
              <w:bottom w:val="single" w:sz="4" w:space="0" w:color="000000"/>
              <w:right w:val="single" w:sz="4" w:space="0" w:color="000000"/>
            </w:tcBorders>
          </w:tcPr>
          <w:p>
            <w:pPr/>
          </w:p>
        </w:tc>
        <w:tc>
          <w:tcPr>
            <w:tcW w:w="2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项目金额(预估)</w:t>
            </w:r>
          </w:p>
        </w:tc>
        <w:tc>
          <w:tcPr>
            <w:tcW w:w="26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2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未完工部分金额</w:t>
            </w:r>
          </w:p>
        </w:tc>
      </w:tr>
      <w:tr>
        <w:trPr>
          <w:trHeight w:val="353" w:hRule="exact"/>
        </w:trPr>
        <w:tc>
          <w:tcPr>
            <w:tcW w:w="2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未完工项目</w:t>
            </w:r>
          </w:p>
        </w:tc>
        <w:tc>
          <w:tcPr>
            <w:tcW w:w="2114" w:type="dxa"/>
            <w:gridSpan w:val="2"/>
            <w:tcBorders>
              <w:top w:val="single" w:sz="4" w:space="0" w:color="000000"/>
              <w:left w:val="single" w:sz="4" w:space="0" w:color="000000"/>
              <w:bottom w:val="single" w:sz="4" w:space="0" w:color="000000"/>
              <w:right w:val="single" w:sz="4" w:space="0" w:color="000000"/>
            </w:tcBorders>
          </w:tcPr>
          <w:p>
            <w:pPr/>
          </w:p>
        </w:tc>
        <w:tc>
          <w:tcPr>
            <w:tcW w:w="2674" w:type="dxa"/>
            <w:gridSpan w:val="2"/>
            <w:tcBorders>
              <w:top w:val="single" w:sz="4" w:space="0" w:color="000000"/>
              <w:left w:val="single" w:sz="4" w:space="0" w:color="000000"/>
              <w:bottom w:val="single" w:sz="4" w:space="0" w:color="000000"/>
              <w:right w:val="single" w:sz="4" w:space="0" w:color="000000"/>
            </w:tcBorders>
          </w:tcPr>
          <w:p>
            <w:pPr/>
          </w:p>
        </w:tc>
        <w:tc>
          <w:tcPr>
            <w:tcW w:w="2215" w:type="dxa"/>
            <w:gridSpan w:val="2"/>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3"/>
              <w:jc w:val="right"/>
              <w:rPr>
                <w:rFonts w:ascii="宋体" w:hAnsi="宋体" w:cs="宋体" w:eastAsia="宋体" w:hint="default"/>
                <w:sz w:val="18"/>
                <w:szCs w:val="18"/>
              </w:rPr>
            </w:pPr>
            <w:r>
              <w:rPr>
                <w:rFonts w:ascii="宋体" w:hAnsi="宋体" w:cs="宋体" w:eastAsia="宋体" w:hint="default"/>
                <w:sz w:val="18"/>
                <w:szCs w:val="18"/>
              </w:rPr>
              <w:t>项目金额(预估)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1"/>
              <w:jc w:val="right"/>
              <w:rPr>
                <w:rFonts w:ascii="宋体" w:hAnsi="宋体" w:cs="宋体" w:eastAsia="宋体" w:hint="default"/>
                <w:sz w:val="18"/>
                <w:szCs w:val="18"/>
              </w:rPr>
            </w:pPr>
            <w:r>
              <w:rPr>
                <w:rFonts w:ascii="宋体" w:hAnsi="宋体" w:cs="宋体" w:eastAsia="宋体" w:hint="default"/>
                <w:sz w:val="18"/>
                <w:szCs w:val="18"/>
              </w:rPr>
              <w:t>工期(月)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2"/>
              <w:jc w:val="right"/>
              <w:rPr>
                <w:rFonts w:ascii="宋体" w:hAnsi="宋体" w:cs="宋体" w:eastAsia="宋体" w:hint="default"/>
                <w:sz w:val="18"/>
                <w:szCs w:val="18"/>
              </w:rPr>
            </w:pPr>
            <w:r>
              <w:rPr>
                <w:rFonts w:ascii="宋体" w:hAnsi="宋体" w:cs="宋体" w:eastAsia="宋体" w:hint="default"/>
                <w:sz w:val="18"/>
                <w:szCs w:val="18"/>
              </w:rPr>
              <w:t>完成百分比</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本期确认收入</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8"/>
              <w:jc w:val="right"/>
              <w:rPr>
                <w:rFonts w:ascii="宋体" w:hAnsi="宋体" w:cs="宋体" w:eastAsia="宋体" w:hint="default"/>
                <w:sz w:val="18"/>
                <w:szCs w:val="18"/>
              </w:rPr>
            </w:pPr>
            <w:r>
              <w:rPr>
                <w:rFonts w:ascii="宋体" w:hAnsi="宋体" w:cs="宋体" w:eastAsia="宋体" w:hint="default"/>
                <w:sz w:val="18"/>
                <w:szCs w:val="18"/>
              </w:rPr>
              <w:t>累计确认收入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应收账款余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r>
      <w:tr>
        <w:trPr>
          <w:trHeight w:val="3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综合代维一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45,408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85.44%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6" w:right="0"/>
              <w:jc w:val="left"/>
              <w:rPr>
                <w:rFonts w:ascii="宋体" w:hAnsi="宋体" w:cs="宋体" w:eastAsia="宋体" w:hint="default"/>
                <w:sz w:val="18"/>
                <w:szCs w:val="18"/>
              </w:rPr>
            </w:pPr>
            <w:r>
              <w:rPr>
                <w:rFonts w:ascii="宋体"/>
                <w:sz w:val="18"/>
              </w:rPr>
              <w:t>7,676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38,793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9" w:right="0"/>
              <w:jc w:val="left"/>
              <w:rPr>
                <w:rFonts w:ascii="宋体" w:hAnsi="宋体" w:cs="宋体" w:eastAsia="宋体" w:hint="default"/>
                <w:sz w:val="18"/>
                <w:szCs w:val="18"/>
              </w:rPr>
            </w:pPr>
            <w:r>
              <w:rPr>
                <w:rFonts w:ascii="宋体"/>
                <w:sz w:val="18"/>
              </w:rPr>
              <w:t>14,489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375</w:t>
            </w:r>
          </w:p>
        </w:tc>
      </w:tr>
    </w:tbl>
    <w:p>
      <w:pPr>
        <w:spacing w:after="0" w:line="240" w:lineRule="auto"/>
        <w:jc w:val="righ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135"/>
        <w:gridCol w:w="1500"/>
        <w:gridCol w:w="967"/>
        <w:gridCol w:w="1147"/>
        <w:gridCol w:w="1370"/>
        <w:gridCol w:w="1303"/>
        <w:gridCol w:w="1082"/>
        <w:gridCol w:w="1133"/>
      </w:tblGrid>
      <w:tr>
        <w:trPr>
          <w:trHeight w:val="35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综合代维二</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20,194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61.25%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4,826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12,369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5,001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1,575</w:t>
            </w:r>
          </w:p>
        </w:tc>
      </w:tr>
      <w:tr>
        <w:trPr>
          <w:trHeight w:val="35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综合代维三</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22,814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11,692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11,692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9,908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2,486</w:t>
            </w:r>
          </w:p>
        </w:tc>
      </w:tr>
      <w:tr>
        <w:trPr>
          <w:trHeight w:val="3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综合代维四</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32,380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9,945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9,945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4,189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6,352</w:t>
            </w:r>
          </w:p>
        </w:tc>
      </w:tr>
      <w:tr>
        <w:trPr>
          <w:trHeight w:val="35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综合代维五</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55,494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21.46%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11,907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11,907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8,618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4,003</w:t>
            </w:r>
          </w:p>
        </w:tc>
      </w:tr>
      <w:tr>
        <w:trPr>
          <w:trHeight w:val="35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176,290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46,046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84,706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42,205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14,791</w:t>
            </w:r>
          </w:p>
        </w:tc>
      </w:tr>
    </w:tbl>
    <w:p>
      <w:pPr>
        <w:pStyle w:val="BodyText"/>
        <w:spacing w:line="544" w:lineRule="auto" w:before="50"/>
        <w:ind w:left="813" w:right="3143"/>
        <w:jc w:val="left"/>
      </w:pPr>
      <w:r>
        <w:rPr>
          <w:spacing w:val="-2"/>
        </w:rPr>
        <w:t>注：上表中项目金额(预估)是按照合同到期的预估金额列示。</w:t>
      </w:r>
      <w:r>
        <w:rPr>
          <w:spacing w:val="-56"/>
        </w:rPr>
        <w:t> </w:t>
      </w:r>
      <w:r>
        <w:rPr>
          <w:spacing w:val="-56"/>
        </w:rPr>
      </w:r>
      <w:r>
        <w:rPr/>
        <w:t>(3) 未有已完工未结算项目。</w:t>
      </w:r>
    </w:p>
    <w:p>
      <w:pPr>
        <w:pStyle w:val="BodyText"/>
        <w:tabs>
          <w:tab w:pos="4281" w:val="left" w:leader="none"/>
        </w:tabs>
        <w:spacing w:line="681" w:lineRule="auto" w:before="114"/>
        <w:ind w:left="813" w:right="4530"/>
        <w:jc w:val="left"/>
      </w:pPr>
      <w:r>
        <w:rPr/>
        <w:pict>
          <v:shape style="position:absolute;margin-left:59.279999pt;margin-top:62.480091pt;width:482.65pt;height:268.3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4"/>
                    <w:gridCol w:w="1834"/>
                    <w:gridCol w:w="1680"/>
                    <w:gridCol w:w="1380"/>
                    <w:gridCol w:w="1630"/>
                    <w:gridCol w:w="1349"/>
                    <w:gridCol w:w="1133"/>
                  </w:tblGrid>
                  <w:tr>
                    <w:trPr>
                      <w:trHeight w:val="355" w:hRule="exact"/>
                    </w:trPr>
                    <w:tc>
                      <w:tcPr>
                        <w:tcW w:w="634" w:type="dxa"/>
                        <w:vMerge w:val="restart"/>
                        <w:tcBorders>
                          <w:top w:val="single" w:sz="4" w:space="0" w:color="000000"/>
                          <w:left w:val="single" w:sz="4" w:space="0" w:color="000000"/>
                          <w:right w:val="single" w:sz="4" w:space="0" w:color="000000"/>
                        </w:tcBorders>
                      </w:tcPr>
                      <w:p>
                        <w:pPr>
                          <w:pStyle w:val="TableParagraph"/>
                          <w:spacing w:line="316" w:lineRule="auto" w:before="32"/>
                          <w:ind w:left="103" w:right="101"/>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33"/>
                            <w:sz w:val="18"/>
                            <w:szCs w:val="18"/>
                          </w:rPr>
                          <w:t> </w:t>
                        </w:r>
                        <w:r>
                          <w:rPr>
                            <w:rFonts w:ascii="宋体" w:hAnsi="宋体" w:cs="宋体" w:eastAsia="宋体" w:hint="default"/>
                            <w:sz w:val="18"/>
                            <w:szCs w:val="18"/>
                          </w:rPr>
                          <w:t>业</w:t>
                        </w:r>
                        <w:r>
                          <w:rPr>
                            <w:rFonts w:ascii="宋体" w:hAnsi="宋体" w:cs="宋体" w:eastAsia="宋体" w:hint="default"/>
                            <w:sz w:val="18"/>
                            <w:szCs w:val="18"/>
                          </w:rPr>
                          <w:t> 分类</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634"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占总成本比例</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占总成本比例</w:t>
                        </w:r>
                      </w:p>
                    </w:tc>
                    <w:tc>
                      <w:tcPr>
                        <w:tcW w:w="1133" w:type="dxa"/>
                        <w:vMerge/>
                        <w:tcBorders>
                          <w:left w:val="single" w:sz="4" w:space="0" w:color="000000"/>
                          <w:bottom w:val="single" w:sz="4" w:space="0" w:color="000000"/>
                          <w:right w:val="single" w:sz="4" w:space="0" w:color="000000"/>
                        </w:tcBorders>
                      </w:tcPr>
                      <w:p>
                        <w:pPr/>
                      </w:p>
                    </w:tc>
                  </w:tr>
                  <w:tr>
                    <w:trPr>
                      <w:trHeight w:val="350" w:hRule="exact"/>
                    </w:trPr>
                    <w:tc>
                      <w:tcPr>
                        <w:tcW w:w="6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33"/>
                            <w:sz w:val="18"/>
                            <w:szCs w:val="18"/>
                          </w:rPr>
                          <w:t> </w:t>
                        </w:r>
                        <w:r>
                          <w:rPr>
                            <w:rFonts w:ascii="宋体" w:hAnsi="宋体" w:cs="宋体" w:eastAsia="宋体" w:hint="default"/>
                            <w:sz w:val="18"/>
                            <w:szCs w:val="18"/>
                          </w:rPr>
                          <w:t>息</w:t>
                        </w:r>
                        <w:r>
                          <w:rPr>
                            <w:rFonts w:ascii="宋体" w:hAnsi="宋体" w:cs="宋体" w:eastAsia="宋体" w:hint="default"/>
                            <w:sz w:val="18"/>
                            <w:szCs w:val="18"/>
                          </w:rPr>
                          <w:t> 智</w:t>
                        </w:r>
                        <w:r>
                          <w:rPr>
                            <w:rFonts w:ascii="宋体" w:hAnsi="宋体" w:cs="宋体" w:eastAsia="宋体" w:hint="default"/>
                            <w:spacing w:val="-33"/>
                            <w:sz w:val="18"/>
                            <w:szCs w:val="18"/>
                          </w:rPr>
                          <w:t> </w:t>
                        </w:r>
                        <w:r>
                          <w:rPr>
                            <w:rFonts w:ascii="宋体" w:hAnsi="宋体" w:cs="宋体" w:eastAsia="宋体" w:hint="default"/>
                            <w:sz w:val="18"/>
                            <w:szCs w:val="18"/>
                          </w:rPr>
                          <w:t>能</w:t>
                        </w:r>
                        <w:r>
                          <w:rPr>
                            <w:rFonts w:ascii="宋体" w:hAnsi="宋体" w:cs="宋体" w:eastAsia="宋体" w:hint="default"/>
                            <w:sz w:val="18"/>
                            <w:szCs w:val="18"/>
                          </w:rPr>
                          <w:t> 传输</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342,928,839.23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340,215,881.89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21.75%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0.80%</w:t>
                        </w:r>
                      </w:p>
                    </w:tc>
                  </w:tr>
                  <w:tr>
                    <w:trPr>
                      <w:trHeight w:val="350" w:hRule="exact"/>
                    </w:trPr>
                    <w:tc>
                      <w:tcPr>
                        <w:tcW w:w="634" w:type="dxa"/>
                        <w:vMerge/>
                        <w:tcBorders>
                          <w:left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22,217,210.07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2,274,738.44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-0.26%</w:t>
                        </w:r>
                      </w:p>
                    </w:tc>
                  </w:tr>
                  <w:tr>
                    <w:trPr>
                      <w:trHeight w:val="350" w:hRule="exact"/>
                    </w:trPr>
                    <w:tc>
                      <w:tcPr>
                        <w:tcW w:w="634" w:type="dxa"/>
                        <w:vMerge/>
                        <w:tcBorders>
                          <w:left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579,884.46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0.03%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660,792.14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-12.24%</w:t>
                        </w:r>
                      </w:p>
                    </w:tc>
                  </w:tr>
                  <w:tr>
                    <w:trPr>
                      <w:trHeight w:val="350" w:hRule="exact"/>
                    </w:trPr>
                    <w:tc>
                      <w:tcPr>
                        <w:tcW w:w="634" w:type="dxa"/>
                        <w:vMerge/>
                        <w:tcBorders>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能源和动力</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183,044.82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126,755.25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44.41%</w:t>
                        </w:r>
                      </w:p>
                    </w:tc>
                  </w:tr>
                  <w:tr>
                    <w:trPr>
                      <w:trHeight w:val="348" w:hRule="exact"/>
                    </w:trPr>
                    <w:tc>
                      <w:tcPr>
                        <w:tcW w:w="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33"/>
                            <w:sz w:val="18"/>
                            <w:szCs w:val="18"/>
                          </w:rPr>
                          <w:t> </w:t>
                        </w:r>
                        <w:r>
                          <w:rPr>
                            <w:rFonts w:ascii="宋体" w:hAnsi="宋体" w:cs="宋体" w:eastAsia="宋体" w:hint="default"/>
                            <w:sz w:val="18"/>
                            <w:szCs w:val="18"/>
                          </w:rPr>
                          <w:t>信</w:t>
                        </w:r>
                        <w:r>
                          <w:rPr>
                            <w:rFonts w:ascii="宋体" w:hAnsi="宋体" w:cs="宋体" w:eastAsia="宋体" w:hint="default"/>
                            <w:sz w:val="18"/>
                            <w:szCs w:val="18"/>
                          </w:rPr>
                          <w:t> 网</w:t>
                        </w:r>
                        <w:r>
                          <w:rPr>
                            <w:rFonts w:ascii="宋体" w:hAnsi="宋体" w:cs="宋体" w:eastAsia="宋体" w:hint="default"/>
                            <w:spacing w:val="-33"/>
                            <w:sz w:val="18"/>
                            <w:szCs w:val="18"/>
                          </w:rPr>
                          <w:t> </w:t>
                        </w:r>
                        <w:r>
                          <w:rPr>
                            <w:rFonts w:ascii="宋体" w:hAnsi="宋体" w:cs="宋体" w:eastAsia="宋体" w:hint="default"/>
                            <w:sz w:val="18"/>
                            <w:szCs w:val="18"/>
                          </w:rPr>
                          <w:t>络</w:t>
                        </w:r>
                        <w:r>
                          <w:rPr>
                            <w:rFonts w:ascii="宋体" w:hAnsi="宋体" w:cs="宋体" w:eastAsia="宋体" w:hint="default"/>
                            <w:sz w:val="18"/>
                            <w:szCs w:val="18"/>
                          </w:rPr>
                          <w:t> 维护</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原材料(含油费)</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33,596,052.22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22,859,056.30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46.97%</w:t>
                        </w:r>
                      </w:p>
                    </w:tc>
                  </w:tr>
                  <w:tr>
                    <w:trPr>
                      <w:trHeight w:val="350" w:hRule="exact"/>
                    </w:trPr>
                    <w:tc>
                      <w:tcPr>
                        <w:tcW w:w="634" w:type="dxa"/>
                        <w:vMerge/>
                        <w:tcBorders>
                          <w:left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劳务采购</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592,180,834.91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32.00%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526,829,517.63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33.69%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12.40%</w:t>
                        </w:r>
                      </w:p>
                    </w:tc>
                  </w:tr>
                  <w:tr>
                    <w:trPr>
                      <w:trHeight w:val="350" w:hRule="exact"/>
                    </w:trPr>
                    <w:tc>
                      <w:tcPr>
                        <w:tcW w:w="634" w:type="dxa"/>
                        <w:vMerge/>
                        <w:tcBorders>
                          <w:left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325,143,964.42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17.57%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288,368,045.49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12.75%</w:t>
                        </w:r>
                      </w:p>
                    </w:tc>
                  </w:tr>
                  <w:tr>
                    <w:trPr>
                      <w:trHeight w:val="350" w:hRule="exact"/>
                    </w:trPr>
                    <w:tc>
                      <w:tcPr>
                        <w:tcW w:w="634" w:type="dxa"/>
                        <w:vMerge/>
                        <w:tcBorders>
                          <w:left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14,126,575.48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0.76%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12,651,967.74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11.66%</w:t>
                        </w:r>
                      </w:p>
                    </w:tc>
                  </w:tr>
                  <w:tr>
                    <w:trPr>
                      <w:trHeight w:val="350" w:hRule="exact"/>
                    </w:trPr>
                    <w:tc>
                      <w:tcPr>
                        <w:tcW w:w="634" w:type="dxa"/>
                        <w:vMerge/>
                        <w:tcBorders>
                          <w:left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1"/>
                            <w:sz w:val="18"/>
                            <w:szCs w:val="18"/>
                          </w:rPr>
                          <w:t>车辆租赁及维修费用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96,415,061.95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5.21%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93,182,560.16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5.96%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3.47%</w:t>
                        </w:r>
                      </w:p>
                    </w:tc>
                  </w:tr>
                  <w:tr>
                    <w:trPr>
                      <w:trHeight w:val="350" w:hRule="exact"/>
                    </w:trPr>
                    <w:tc>
                      <w:tcPr>
                        <w:tcW w:w="634" w:type="dxa"/>
                        <w:vMerge/>
                        <w:tcBorders>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28,365,834.19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21,037,741.40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34.83%</w:t>
                        </w:r>
                      </w:p>
                    </w:tc>
                  </w:tr>
                  <w:tr>
                    <w:trPr>
                      <w:trHeight w:val="1176"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90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2"/>
                            <w:sz w:val="18"/>
                            <w:szCs w:val="18"/>
                          </w:rPr>
                          <w:t> </w:t>
                        </w:r>
                        <w:r>
                          <w:rPr>
                            <w:rFonts w:ascii="宋体" w:hAnsi="宋体" w:cs="宋体" w:eastAsia="宋体" w:hint="default"/>
                            <w:sz w:val="18"/>
                            <w:szCs w:val="18"/>
                          </w:rPr>
                          <w:t>因</w:t>
                        </w:r>
                        <w:r>
                          <w:rPr>
                            <w:rFonts w:ascii="宋体" w:hAnsi="宋体" w:cs="宋体" w:eastAsia="宋体" w:hint="default"/>
                            <w:spacing w:val="-52"/>
                            <w:sz w:val="18"/>
                            <w:szCs w:val="18"/>
                          </w:rPr>
                          <w:t> </w:t>
                        </w:r>
                        <w:r>
                          <w:rPr>
                            <w:rFonts w:ascii="宋体" w:hAnsi="宋体" w:cs="宋体" w:eastAsia="宋体" w:hint="default"/>
                            <w:sz w:val="18"/>
                            <w:szCs w:val="18"/>
                          </w:rPr>
                          <w:t>2015、2016</w:t>
                        </w:r>
                        <w:r>
                          <w:rPr>
                            <w:rFonts w:ascii="宋体" w:hAnsi="宋体" w:cs="宋体" w:eastAsia="宋体" w:hint="default"/>
                            <w:spacing w:val="-50"/>
                            <w:sz w:val="18"/>
                            <w:szCs w:val="18"/>
                          </w:rPr>
                          <w:t> </w:t>
                        </w:r>
                        <w:r>
                          <w:rPr>
                            <w:rFonts w:ascii="宋体" w:hAnsi="宋体" w:cs="宋体" w:eastAsia="宋体" w:hint="default"/>
                            <w:sz w:val="18"/>
                            <w:szCs w:val="18"/>
                          </w:rPr>
                          <w:t>年报列示的信息传输采购成本包含软件开发及应用等其他业务成本，与</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年同口径的</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年、2015</w:t>
                        </w:r>
                        <w:r>
                          <w:rPr>
                            <w:rFonts w:ascii="宋体" w:hAnsi="宋体" w:cs="宋体" w:eastAsia="宋体" w:hint="default"/>
                            <w:spacing w:val="-43"/>
                            <w:sz w:val="18"/>
                            <w:szCs w:val="18"/>
                          </w:rPr>
                          <w:t> </w:t>
                        </w:r>
                        <w:r>
                          <w:rPr>
                            <w:rFonts w:ascii="宋体" w:hAnsi="宋体" w:cs="宋体" w:eastAsia="宋体" w:hint="default"/>
                            <w:sz w:val="18"/>
                            <w:szCs w:val="18"/>
                          </w:rPr>
                          <w:t>年信息传输采购成本分别为</w:t>
                        </w:r>
                        <w:r>
                          <w:rPr>
                            <w:rFonts w:ascii="宋体" w:hAnsi="宋体" w:cs="宋体" w:eastAsia="宋体" w:hint="default"/>
                            <w:spacing w:val="-44"/>
                            <w:sz w:val="18"/>
                            <w:szCs w:val="18"/>
                          </w:rPr>
                          <w:t> </w:t>
                        </w:r>
                        <w:r>
                          <w:rPr>
                            <w:rFonts w:ascii="宋体" w:hAnsi="宋体" w:cs="宋体" w:eastAsia="宋体" w:hint="default"/>
                            <w:sz w:val="18"/>
                            <w:szCs w:val="18"/>
                          </w:rPr>
                          <w:t>340,215,881.89</w:t>
                        </w:r>
                        <w:r>
                          <w:rPr>
                            <w:rFonts w:ascii="宋体" w:hAnsi="宋体" w:cs="宋体" w:eastAsia="宋体" w:hint="default"/>
                            <w:spacing w:val="-43"/>
                            <w:sz w:val="18"/>
                            <w:szCs w:val="18"/>
                          </w:rPr>
                          <w:t> </w:t>
                        </w:r>
                        <w:r>
                          <w:rPr>
                            <w:rFonts w:ascii="宋体" w:hAnsi="宋体" w:cs="宋体" w:eastAsia="宋体" w:hint="default"/>
                            <w:sz w:val="18"/>
                            <w:szCs w:val="18"/>
                          </w:rPr>
                          <w:t>元、347,293,528.78</w:t>
                        </w:r>
                        <w:r>
                          <w:rPr>
                            <w:rFonts w:ascii="宋体" w:hAnsi="宋体" w:cs="宋体" w:eastAsia="宋体" w:hint="default"/>
                            <w:spacing w:val="-44"/>
                            <w:sz w:val="18"/>
                            <w:szCs w:val="18"/>
                          </w:rPr>
                          <w:t> </w:t>
                        </w:r>
                        <w:r>
                          <w:rPr>
                            <w:rFonts w:ascii="宋体" w:hAnsi="宋体" w:cs="宋体" w:eastAsia="宋体" w:hint="default"/>
                            <w:sz w:val="18"/>
                            <w:szCs w:val="18"/>
                          </w:rPr>
                          <w:t>元，因</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年报列示的信息传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输人工工资包含软件开发及应用等其他业务人工工资，与 </w:t>
                        </w:r>
                        <w:r>
                          <w:rPr>
                            <w:rFonts w:ascii="宋体" w:hAnsi="宋体" w:cs="宋体" w:eastAsia="宋体" w:hint="default"/>
                            <w:sz w:val="18"/>
                            <w:szCs w:val="18"/>
                          </w:rPr>
                          <w:t>2017 </w:t>
                        </w:r>
                        <w:r>
                          <w:rPr>
                            <w:rFonts w:ascii="宋体" w:hAnsi="宋体" w:cs="宋体" w:eastAsia="宋体" w:hint="default"/>
                            <w:spacing w:val="9"/>
                            <w:sz w:val="18"/>
                            <w:szCs w:val="18"/>
                          </w:rPr>
                          <w:t>年同口径的 </w:t>
                        </w:r>
                        <w:r>
                          <w:rPr>
                            <w:rFonts w:ascii="宋体" w:hAnsi="宋体" w:cs="宋体" w:eastAsia="宋体" w:hint="default"/>
                            <w:sz w:val="18"/>
                            <w:szCs w:val="18"/>
                          </w:rPr>
                          <w:t>2016</w:t>
                        </w:r>
                        <w:r>
                          <w:rPr>
                            <w:rFonts w:ascii="宋体" w:hAnsi="宋体" w:cs="宋体" w:eastAsia="宋体" w:hint="default"/>
                            <w:spacing w:val="61"/>
                            <w:sz w:val="18"/>
                            <w:szCs w:val="18"/>
                          </w:rPr>
                          <w:t> </w:t>
                        </w:r>
                        <w:r>
                          <w:rPr>
                            <w:rFonts w:ascii="宋体" w:hAnsi="宋体" w:cs="宋体" w:eastAsia="宋体" w:hint="default"/>
                            <w:spacing w:val="10"/>
                            <w:sz w:val="18"/>
                            <w:szCs w:val="18"/>
                          </w:rPr>
                          <w:t>年信息传输人工工资为</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2,274,738.44</w:t>
                        </w:r>
                        <w:r>
                          <w:rPr>
                            <w:rFonts w:ascii="宋体" w:hAnsi="宋体" w:cs="宋体" w:eastAsia="宋体" w:hint="default"/>
                            <w:spacing w:val="-60"/>
                            <w:sz w:val="18"/>
                            <w:szCs w:val="18"/>
                          </w:rPr>
                          <w:t> </w:t>
                        </w:r>
                        <w:r>
                          <w:rPr>
                            <w:rFonts w:ascii="宋体" w:hAnsi="宋体" w:cs="宋体" w:eastAsia="宋体" w:hint="default"/>
                            <w:spacing w:val="-6"/>
                            <w:sz w:val="18"/>
                            <w:szCs w:val="18"/>
                          </w:rPr>
                          <w:t>元；(2)</w:t>
                        </w:r>
                        <w:r>
                          <w:rPr>
                            <w:rFonts w:ascii="宋体" w:hAnsi="宋体" w:cs="宋体" w:eastAsia="宋体" w:hint="default"/>
                            <w:spacing w:val="-29"/>
                            <w:sz w:val="18"/>
                            <w:szCs w:val="18"/>
                          </w:rPr>
                          <w:t> </w:t>
                        </w:r>
                        <w:r>
                          <w:rPr>
                            <w:rFonts w:ascii="宋体" w:hAnsi="宋体" w:cs="宋体" w:eastAsia="宋体" w:hint="default"/>
                            <w:sz w:val="18"/>
                            <w:szCs w:val="18"/>
                          </w:rPr>
                          <w:t>通信网络维护业务原材料、其他费用大幅增长是因报告期业务收入增加、原材料价格有所</w:t>
                        </w:r>
                        <w:r>
                          <w:rPr>
                            <w:rFonts w:ascii="宋体" w:hAnsi="宋体" w:cs="宋体" w:eastAsia="宋体" w:hint="default"/>
                            <w:sz w:val="18"/>
                            <w:szCs w:val="18"/>
                          </w:rPr>
                          <w:t> 波动。</w:t>
                        </w:r>
                      </w:p>
                    </w:tc>
                  </w:tr>
                </w:tbl>
                <w:p>
                  <w:pPr/>
                </w:p>
              </w:txbxContent>
            </v:textbox>
            <w10:wrap type="none"/>
          </v:shape>
        </w:pict>
      </w:r>
      <w:r>
        <w:rPr/>
        <w:t>(4) 公司是否开展境外项目：□ 是</w:t>
        <w:tab/>
        <w:t>√</w:t>
      </w:r>
      <w:r>
        <w:rPr>
          <w:spacing w:val="1"/>
        </w:rPr>
        <w:t> </w:t>
      </w:r>
      <w:r>
        <w:rPr/>
        <w:t>否。</w:t>
      </w:r>
      <w:r>
        <w:rPr>
          <w:w w:val="100"/>
        </w:rPr>
        <w:t> </w:t>
      </w:r>
      <w:r>
        <w:rPr>
          <w:spacing w:val="-2"/>
        </w:rPr>
        <w:t>5、营业成本构成(按行业分类、不适用产品分类)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6"/>
        <w:ind w:left="813" w:right="1174"/>
        <w:jc w:val="left"/>
      </w:pPr>
      <w:r>
        <w:rPr/>
        <w:t>6、报告期内合并范围发生变动情况</w:t>
      </w:r>
    </w:p>
    <w:p>
      <w:pPr>
        <w:pStyle w:val="BodyText"/>
        <w:spacing w:line="273" w:lineRule="auto" w:before="37"/>
        <w:ind w:left="393" w:right="436" w:firstLine="420"/>
        <w:jc w:val="both"/>
      </w:pPr>
      <w:r>
        <w:rPr/>
        <w:t>截至</w:t>
      </w:r>
      <w:r>
        <w:rPr>
          <w:spacing w:val="-44"/>
        </w:rPr>
        <w:t> </w:t>
      </w:r>
      <w:r>
        <w:rPr/>
        <w:t>2017</w:t>
      </w:r>
      <w:r>
        <w:rPr>
          <w:spacing w:val="-48"/>
        </w:rPr>
        <w:t> </w:t>
      </w:r>
      <w:r>
        <w:rPr/>
        <w:t>年</w:t>
      </w:r>
      <w:r>
        <w:rPr>
          <w:spacing w:val="-44"/>
        </w:rPr>
        <w:t> </w:t>
      </w:r>
      <w:r>
        <w:rPr/>
        <w:t>12</w:t>
      </w:r>
      <w:r>
        <w:rPr>
          <w:spacing w:val="-48"/>
        </w:rPr>
        <w:t> </w:t>
      </w:r>
      <w:r>
        <w:rPr/>
        <w:t>月</w:t>
      </w:r>
      <w:r>
        <w:rPr>
          <w:spacing w:val="-44"/>
        </w:rPr>
        <w:t> </w:t>
      </w:r>
      <w:r>
        <w:rPr/>
        <w:t>31</w:t>
      </w:r>
      <w:r>
        <w:rPr>
          <w:spacing w:val="-48"/>
        </w:rPr>
        <w:t> </w:t>
      </w:r>
      <w:r>
        <w:rPr/>
        <w:t>日，公司将创世漫道于</w:t>
      </w:r>
      <w:r>
        <w:rPr>
          <w:spacing w:val="-48"/>
        </w:rPr>
        <w:t> </w:t>
      </w:r>
      <w:r>
        <w:rPr/>
        <w:t>2017</w:t>
      </w:r>
      <w:r>
        <w:rPr>
          <w:spacing w:val="-48"/>
        </w:rPr>
        <w:t> </w:t>
      </w:r>
      <w:r>
        <w:rPr/>
        <w:t>年</w:t>
      </w:r>
      <w:r>
        <w:rPr>
          <w:spacing w:val="-44"/>
        </w:rPr>
        <w:t> </w:t>
      </w:r>
      <w:r>
        <w:rPr/>
        <w:t>3</w:t>
      </w:r>
      <w:r>
        <w:rPr>
          <w:spacing w:val="-44"/>
        </w:rPr>
        <w:t> </w:t>
      </w:r>
      <w:r>
        <w:rPr/>
        <w:t>月</w:t>
      </w:r>
      <w:r>
        <w:rPr>
          <w:spacing w:val="-48"/>
        </w:rPr>
        <w:t> </w:t>
      </w:r>
      <w:r>
        <w:rPr/>
        <w:t>17</w:t>
      </w:r>
      <w:r>
        <w:rPr>
          <w:spacing w:val="-44"/>
        </w:rPr>
        <w:t> </w:t>
      </w:r>
      <w:r>
        <w:rPr/>
        <w:t>日设立的全资子公司新疆漫道通</w:t>
      </w:r>
      <w:r>
        <w:rPr>
          <w:w w:val="100"/>
        </w:rPr>
        <w:t> </w:t>
      </w:r>
      <w:r>
        <w:rPr>
          <w:spacing w:val="-4"/>
        </w:rPr>
        <w:t>信科技有限公司，将长实通信于</w:t>
      </w:r>
      <w:r>
        <w:rPr>
          <w:spacing w:val="-51"/>
        </w:rPr>
        <w:t> </w:t>
      </w:r>
      <w:r>
        <w:rPr/>
        <w:t>2017</w:t>
      </w:r>
      <w:r>
        <w:rPr>
          <w:spacing w:val="-51"/>
        </w:rPr>
        <w:t> </w:t>
      </w:r>
      <w:r>
        <w:rPr/>
        <w:t>年</w:t>
      </w:r>
      <w:r>
        <w:rPr>
          <w:spacing w:val="-53"/>
        </w:rPr>
        <w:t> </w:t>
      </w:r>
      <w:r>
        <w:rPr/>
        <w:t>8</w:t>
      </w:r>
      <w:r>
        <w:rPr>
          <w:spacing w:val="-51"/>
        </w:rPr>
        <w:t> </w:t>
      </w:r>
      <w:r>
        <w:rPr/>
        <w:t>月</w:t>
      </w:r>
      <w:r>
        <w:rPr>
          <w:spacing w:val="-53"/>
        </w:rPr>
        <w:t> </w:t>
      </w:r>
      <w:r>
        <w:rPr/>
        <w:t>6</w:t>
      </w:r>
      <w:r>
        <w:rPr>
          <w:spacing w:val="-51"/>
        </w:rPr>
        <w:t> </w:t>
      </w:r>
      <w:r>
        <w:rPr>
          <w:spacing w:val="-10"/>
        </w:rPr>
        <w:t>日、11</w:t>
      </w:r>
      <w:r>
        <w:rPr>
          <w:spacing w:val="-51"/>
        </w:rPr>
        <w:t> </w:t>
      </w:r>
      <w:r>
        <w:rPr/>
        <w:t>月</w:t>
      </w:r>
      <w:r>
        <w:rPr>
          <w:spacing w:val="-51"/>
        </w:rPr>
        <w:t> </w:t>
      </w:r>
      <w:r>
        <w:rPr/>
        <w:t>20</w:t>
      </w:r>
      <w:r>
        <w:rPr>
          <w:spacing w:val="-51"/>
        </w:rPr>
        <w:t> </w:t>
      </w:r>
      <w:r>
        <w:rPr/>
        <w:t>日分别设立的全资子公司新疆长实通信</w:t>
      </w:r>
      <w:r>
        <w:rPr>
          <w:w w:val="100"/>
        </w:rPr>
        <w:t> </w:t>
      </w:r>
      <w:r>
        <w:rPr/>
        <w:t>科技有限公司、霍尔果斯长实云谷信息科技有限公司，将报告期长实通信</w:t>
      </w:r>
      <w:r>
        <w:rPr>
          <w:spacing w:val="-63"/>
        </w:rPr>
        <w:t> </w:t>
      </w:r>
      <w:r>
        <w:rPr/>
        <w:t>1</w:t>
      </w:r>
      <w:r>
        <w:rPr>
          <w:spacing w:val="-63"/>
        </w:rPr>
        <w:t> </w:t>
      </w:r>
      <w:r>
        <w:rPr/>
        <w:t>元收购的控股子公司新</w:t>
      </w:r>
      <w:r>
        <w:rPr>
          <w:w w:val="100"/>
        </w:rPr>
        <w:t> </w:t>
      </w:r>
      <w:r>
        <w:rPr>
          <w:spacing w:val="-2"/>
        </w:rPr>
        <w:t>丝路融资租赁(深圳)有限公司，纳入合并范围。报告期合并报表范围变化不改变上年同口径数据。</w:t>
      </w:r>
    </w:p>
    <w:p>
      <w:pPr>
        <w:pStyle w:val="BodyText"/>
        <w:tabs>
          <w:tab w:pos="6168" w:val="left" w:leader="none"/>
        </w:tabs>
        <w:spacing w:line="240" w:lineRule="auto" w:before="164"/>
        <w:ind w:left="813" w:right="1174"/>
        <w:jc w:val="left"/>
      </w:pPr>
      <w:r>
        <w:rPr/>
        <w:t>7、公司报告期内业务或服务变化的有关情况：□</w:t>
      </w:r>
      <w:r>
        <w:rPr>
          <w:spacing w:val="-7"/>
        </w:rPr>
        <w:t> </w:t>
      </w:r>
      <w:r>
        <w:rPr/>
        <w:t>适用</w:t>
        <w:tab/>
        <w:t>√</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813" w:right="1174"/>
        <w:jc w:val="left"/>
      </w:pPr>
      <w:r>
        <w:rPr/>
        <w:t>8、主要销售客户和主要供应商情况</w:t>
      </w:r>
    </w:p>
    <w:p>
      <w:pPr>
        <w:pStyle w:val="BodyText"/>
        <w:spacing w:line="240" w:lineRule="auto" w:before="37"/>
        <w:ind w:left="813" w:right="1174"/>
        <w:jc w:val="left"/>
      </w:pPr>
      <w:r>
        <w:rPr/>
        <w:t>(1)</w:t>
      </w:r>
      <w:r>
        <w:rPr>
          <w:spacing w:val="-6"/>
        </w:rPr>
        <w:t> </w:t>
      </w:r>
      <w:r>
        <w:rPr/>
        <w:t>公司主要销售客户情况(不存在同一实际控制人控制的客户)</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961"/>
        <w:gridCol w:w="4678"/>
      </w:tblGrid>
      <w:tr>
        <w:trPr>
          <w:trHeight w:val="466"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577,025,643.77</w:t>
            </w:r>
          </w:p>
        </w:tc>
      </w:tr>
      <w:tr>
        <w:trPr>
          <w:trHeight w:val="348"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27.38</w:t>
            </w:r>
          </w:p>
        </w:tc>
      </w:tr>
      <w:tr>
        <w:trPr>
          <w:trHeight w:val="35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0"/>
        <w:ind w:left="813" w:right="0"/>
        <w:jc w:val="left"/>
      </w:pPr>
      <w:r>
        <w:rPr/>
        <w:t>公司前</w:t>
      </w:r>
      <w:r>
        <w:rPr>
          <w:spacing w:val="-57"/>
        </w:rPr>
        <w:t> </w:t>
      </w:r>
      <w:r>
        <w:rPr/>
        <w:t>5</w:t>
      </w:r>
      <w:r>
        <w:rPr>
          <w:spacing w:val="-57"/>
        </w:rPr>
        <w:t> </w:t>
      </w:r>
      <w:r>
        <w:rPr/>
        <w:t>大客户(不存在同一实际控制人控制的客户)资料</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77"/>
        <w:gridCol w:w="3970"/>
        <w:gridCol w:w="4392"/>
      </w:tblGrid>
      <w:tr>
        <w:trPr>
          <w:trHeight w:val="52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65" w:right="0"/>
              <w:jc w:val="left"/>
              <w:rPr>
                <w:rFonts w:ascii="宋体" w:hAnsi="宋体" w:cs="宋体" w:eastAsia="宋体" w:hint="default"/>
                <w:sz w:val="18"/>
                <w:szCs w:val="18"/>
              </w:rPr>
            </w:pPr>
            <w:r>
              <w:rPr>
                <w:rFonts w:ascii="宋体" w:hAnsi="宋体" w:cs="宋体" w:eastAsia="宋体" w:hint="default"/>
                <w:sz w:val="18"/>
                <w:szCs w:val="18"/>
              </w:rPr>
              <w:t>占公司年度销售总额比例(%)</w:t>
            </w:r>
          </w:p>
        </w:tc>
      </w:tr>
      <w:tr>
        <w:trPr>
          <w:trHeight w:val="3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178,018,916.90</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8.45</w:t>
            </w:r>
          </w:p>
        </w:tc>
      </w:tr>
      <w:tr>
        <w:trPr>
          <w:trHeight w:val="3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129,759,164.80</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6.16</w:t>
            </w: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3</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sz w:val="18"/>
              </w:rPr>
              <w:t>119,068,113.39</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5.65</w:t>
            </w:r>
          </w:p>
        </w:tc>
      </w:tr>
      <w:tr>
        <w:trPr>
          <w:trHeight w:val="3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77,660,843.48</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3.69</w:t>
            </w:r>
          </w:p>
        </w:tc>
      </w:tr>
      <w:tr>
        <w:trPr>
          <w:trHeight w:val="3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5</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72,518,605.20</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3.44</w:t>
            </w:r>
          </w:p>
        </w:tc>
      </w:tr>
      <w:tr>
        <w:trPr>
          <w:trHeight w:val="3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577,025,643.77</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27.38</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前五名客户与公司不存在关联关系，公司董事、监事、高级管理人员、核心技术人员、持股</w:t>
            </w:r>
            <w:r>
              <w:rPr>
                <w:rFonts w:ascii="宋体" w:hAnsi="宋体" w:cs="宋体" w:eastAsia="宋体" w:hint="default"/>
                <w:spacing w:val="-14"/>
                <w:sz w:val="18"/>
                <w:szCs w:val="18"/>
              </w:rPr>
              <w:t> </w:t>
            </w:r>
            <w:r>
              <w:rPr>
                <w:rFonts w:ascii="宋体" w:hAnsi="宋体" w:cs="宋体" w:eastAsia="宋体" w:hint="default"/>
                <w:sz w:val="18"/>
                <w:szCs w:val="18"/>
              </w:rPr>
              <w:t>5%以上股东、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实际控制人和其他关联方在主要客户中未直接或者间接拥有权益等。</w:t>
            </w:r>
          </w:p>
        </w:tc>
      </w:tr>
    </w:tbl>
    <w:p>
      <w:pPr>
        <w:spacing w:line="240" w:lineRule="auto" w:before="2"/>
        <w:rPr>
          <w:rFonts w:ascii="宋体" w:hAnsi="宋体" w:cs="宋体" w:eastAsia="宋体" w:hint="default"/>
          <w:sz w:val="20"/>
          <w:szCs w:val="20"/>
        </w:rPr>
      </w:pPr>
    </w:p>
    <w:p>
      <w:pPr>
        <w:pStyle w:val="BodyText"/>
        <w:spacing w:line="240" w:lineRule="auto" w:before="36"/>
        <w:ind w:left="813" w:right="0"/>
        <w:jc w:val="left"/>
      </w:pPr>
      <w:r>
        <w:rPr/>
        <w:t>(2)</w:t>
      </w:r>
      <w:r>
        <w:rPr>
          <w:spacing w:val="-6"/>
        </w:rPr>
        <w:t> </w:t>
      </w:r>
      <w:r>
        <w:rPr/>
        <w:t>公司主要供应商情况(不存在同一实际控制人控制的供应商)</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961"/>
        <w:gridCol w:w="4678"/>
      </w:tblGrid>
      <w:tr>
        <w:trPr>
          <w:trHeight w:val="463"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9"/>
              <w:jc w:val="right"/>
              <w:rPr>
                <w:rFonts w:ascii="宋体" w:hAnsi="宋体" w:cs="宋体" w:eastAsia="宋体" w:hint="default"/>
                <w:sz w:val="18"/>
                <w:szCs w:val="18"/>
              </w:rPr>
            </w:pPr>
            <w:r>
              <w:rPr>
                <w:rFonts w:ascii="宋体"/>
                <w:sz w:val="18"/>
              </w:rPr>
              <w:t>201,410,813.71</w:t>
            </w:r>
          </w:p>
        </w:tc>
      </w:tr>
      <w:tr>
        <w:trPr>
          <w:trHeight w:val="35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sz w:val="18"/>
              </w:rPr>
              <w:t>12.52</w:t>
            </w:r>
          </w:p>
        </w:tc>
      </w:tr>
      <w:tr>
        <w:trPr>
          <w:trHeight w:val="350"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3"/>
              <w:jc w:val="righ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20"/>
          <w:szCs w:val="20"/>
        </w:rPr>
      </w:pPr>
    </w:p>
    <w:p>
      <w:pPr>
        <w:pStyle w:val="BodyText"/>
        <w:spacing w:line="240" w:lineRule="auto" w:before="36"/>
        <w:ind w:left="813" w:right="0"/>
        <w:jc w:val="left"/>
      </w:pPr>
      <w:r>
        <w:rPr/>
        <w:t>公司前</w:t>
      </w:r>
      <w:r>
        <w:rPr>
          <w:spacing w:val="-56"/>
        </w:rPr>
        <w:t> </w:t>
      </w:r>
      <w:r>
        <w:rPr/>
        <w:t>5</w:t>
      </w:r>
      <w:r>
        <w:rPr>
          <w:spacing w:val="-56"/>
        </w:rPr>
        <w:t> </w:t>
      </w:r>
      <w:r>
        <w:rPr/>
        <w:t>名供应商(不存在同一实际控制人控制的供应商)资料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07" w:firstLine="0"/>
        <w:jc w:val="right"/>
        <w:rPr>
          <w:rFonts w:ascii="宋体" w:hAnsi="宋体" w:cs="宋体" w:eastAsia="宋体" w:hint="default"/>
          <w:sz w:val="18"/>
          <w:szCs w:val="18"/>
        </w:rPr>
      </w:pPr>
      <w:r>
        <w:rPr/>
        <w:pict>
          <v:shape style="position:absolute;margin-left:59.279999pt;margin-top:-124.93129pt;width:482.65pt;height:152.550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9"/>
                    <w:gridCol w:w="4166"/>
                    <w:gridCol w:w="4253"/>
                  </w:tblGrid>
                  <w:tr>
                    <w:trPr>
                      <w:trHeight w:val="46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7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50"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sz w:val="18"/>
                          </w:rPr>
                          <w:t>1</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49,633,403.11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2"/>
                          <w:jc w:val="right"/>
                          <w:rPr>
                            <w:rFonts w:ascii="宋体" w:hAnsi="宋体" w:cs="宋体" w:eastAsia="宋体" w:hint="default"/>
                            <w:sz w:val="18"/>
                            <w:szCs w:val="18"/>
                          </w:rPr>
                        </w:pPr>
                        <w:r>
                          <w:rPr>
                            <w:rFonts w:ascii="宋体"/>
                            <w:sz w:val="18"/>
                          </w:rPr>
                          <w:t>3.08</w:t>
                        </w:r>
                      </w:p>
                    </w:tc>
                  </w:tr>
                  <w:tr>
                    <w:trPr>
                      <w:trHeight w:val="350"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sz w:val="18"/>
                          </w:rPr>
                          <w:t>2</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40,942,218.20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3"/>
                          <w:jc w:val="right"/>
                          <w:rPr>
                            <w:rFonts w:ascii="宋体" w:hAnsi="宋体" w:cs="宋体" w:eastAsia="宋体" w:hint="default"/>
                            <w:sz w:val="18"/>
                            <w:szCs w:val="18"/>
                          </w:rPr>
                        </w:pPr>
                        <w:r>
                          <w:rPr>
                            <w:rFonts w:ascii="宋体"/>
                            <w:sz w:val="18"/>
                          </w:rPr>
                          <w:t>2.55</w:t>
                        </w:r>
                      </w:p>
                    </w:tc>
                  </w:tr>
                  <w:tr>
                    <w:trPr>
                      <w:trHeight w:val="350"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sz w:val="18"/>
                          </w:rPr>
                          <w:t>3</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40,667,937.82</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3"/>
                          <w:jc w:val="right"/>
                          <w:rPr>
                            <w:rFonts w:ascii="宋体" w:hAnsi="宋体" w:cs="宋体" w:eastAsia="宋体" w:hint="default"/>
                            <w:sz w:val="18"/>
                            <w:szCs w:val="18"/>
                          </w:rPr>
                        </w:pPr>
                        <w:r>
                          <w:rPr>
                            <w:rFonts w:ascii="宋体"/>
                            <w:sz w:val="18"/>
                          </w:rPr>
                          <w:t>2.53</w:t>
                        </w:r>
                      </w:p>
                    </w:tc>
                  </w:tr>
                  <w:tr>
                    <w:trPr>
                      <w:trHeight w:val="34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sz w:val="18"/>
                          </w:rPr>
                          <w:t>4</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35,233,223.50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2"/>
                          <w:jc w:val="right"/>
                          <w:rPr>
                            <w:rFonts w:ascii="宋体" w:hAnsi="宋体" w:cs="宋体" w:eastAsia="宋体" w:hint="default"/>
                            <w:sz w:val="18"/>
                            <w:szCs w:val="18"/>
                          </w:rPr>
                        </w:pPr>
                        <w:r>
                          <w:rPr>
                            <w:rFonts w:ascii="宋体"/>
                            <w:sz w:val="18"/>
                          </w:rPr>
                          <w:t>2.19</w:t>
                        </w:r>
                      </w:p>
                    </w:tc>
                  </w:tr>
                  <w:tr>
                    <w:trPr>
                      <w:trHeight w:val="350"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sz w:val="18"/>
                          </w:rPr>
                          <w:t>5</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34,934,031.08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2"/>
                          <w:jc w:val="right"/>
                          <w:rPr>
                            <w:rFonts w:ascii="宋体" w:hAnsi="宋体" w:cs="宋体" w:eastAsia="宋体" w:hint="default"/>
                            <w:sz w:val="18"/>
                            <w:szCs w:val="18"/>
                          </w:rPr>
                        </w:pPr>
                        <w:r>
                          <w:rPr>
                            <w:rFonts w:ascii="宋体"/>
                            <w:sz w:val="18"/>
                          </w:rPr>
                          <w:t>2.13</w:t>
                        </w:r>
                      </w:p>
                    </w:tc>
                  </w:tr>
                  <w:tr>
                    <w:trPr>
                      <w:trHeight w:val="350"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201,410,813.71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3"/>
                          <w:jc w:val="right"/>
                          <w:rPr>
                            <w:rFonts w:ascii="宋体" w:hAnsi="宋体" w:cs="宋体" w:eastAsia="宋体" w:hint="default"/>
                            <w:sz w:val="18"/>
                            <w:szCs w:val="18"/>
                          </w:rPr>
                        </w:pPr>
                        <w:r>
                          <w:rPr>
                            <w:rFonts w:ascii="宋体"/>
                            <w:sz w:val="18"/>
                          </w:rPr>
                          <w:t>12.52</w:t>
                        </w:r>
                      </w:p>
                    </w:tc>
                  </w:tr>
                  <w:tr>
                    <w:trPr>
                      <w:trHeight w:val="478"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前五名供应商与公司不存在关联关系，公司董事、监事、高级管理人员、核心技术人员、持股</w:t>
                        </w:r>
                        <w:r>
                          <w:rPr>
                            <w:rFonts w:ascii="宋体" w:hAnsi="宋体" w:cs="宋体" w:eastAsia="宋体" w:hint="default"/>
                            <w:spacing w:val="-11"/>
                            <w:sz w:val="18"/>
                            <w:szCs w:val="18"/>
                          </w:rPr>
                          <w:t> </w:t>
                        </w:r>
                        <w:r>
                          <w:rPr>
                            <w:rFonts w:ascii="宋体" w:hAnsi="宋体" w:cs="宋体" w:eastAsia="宋体" w:hint="default"/>
                            <w:sz w:val="18"/>
                            <w:szCs w:val="18"/>
                          </w:rPr>
                          <w:t>5%以上股东</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实际控制人和其他关联方在主要供应商中未直接或者间接拥有权益等。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tabs>
          <w:tab w:pos="8056" w:val="left" w:leader="none"/>
        </w:tabs>
        <w:spacing w:line="240" w:lineRule="auto" w:before="36"/>
        <w:ind w:left="813" w:right="0"/>
        <w:jc w:val="left"/>
      </w:pPr>
      <w:r>
        <w:rPr/>
        <w:t>(三)</w:t>
      </w:r>
      <w:r>
        <w:rPr>
          <w:spacing w:val="2"/>
        </w:rPr>
        <w:t> </w:t>
      </w:r>
      <w:r>
        <w:rPr/>
        <w:t>费用</w:t>
        <w:tab/>
        <w:t>金额单位：元</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91"/>
        <w:gridCol w:w="1560"/>
        <w:gridCol w:w="1560"/>
        <w:gridCol w:w="991"/>
        <w:gridCol w:w="4536"/>
      </w:tblGrid>
      <w:tr>
        <w:trPr>
          <w:trHeight w:val="542" w:hRule="exact"/>
        </w:trPr>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8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8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6"/>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0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31,624,837.68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29,877,024.98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5.85%</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信息传输业务客户开拓及促销等费用 2017</w:t>
            </w:r>
            <w:r>
              <w:rPr>
                <w:rFonts w:ascii="宋体" w:hAnsi="宋体" w:cs="宋体" w:eastAsia="宋体" w:hint="default"/>
                <w:spacing w:val="1"/>
                <w:sz w:val="18"/>
                <w:szCs w:val="18"/>
              </w:rPr>
              <w:t> </w:t>
            </w:r>
            <w:r>
              <w:rPr>
                <w:rFonts w:ascii="宋体" w:hAnsi="宋体" w:cs="宋体" w:eastAsia="宋体" w:hint="default"/>
                <w:sz w:val="18"/>
                <w:szCs w:val="18"/>
              </w:rPr>
              <w:t>年增加支出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113.67</w:t>
            </w:r>
            <w:r>
              <w:rPr>
                <w:rFonts w:ascii="宋体" w:hAnsi="宋体" w:cs="宋体" w:eastAsia="宋体" w:hint="default"/>
                <w:spacing w:val="-43"/>
                <w:sz w:val="18"/>
                <w:szCs w:val="18"/>
              </w:rPr>
              <w:t> </w:t>
            </w:r>
            <w:r>
              <w:rPr>
                <w:rFonts w:ascii="宋体" w:hAnsi="宋体" w:cs="宋体" w:eastAsia="宋体" w:hint="default"/>
                <w:sz w:val="18"/>
                <w:szCs w:val="18"/>
              </w:rPr>
              <w:t>万元。</w:t>
            </w:r>
          </w:p>
        </w:tc>
      </w:tr>
      <w:tr>
        <w:trPr>
          <w:trHeight w:val="56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宋体" w:hAnsi="宋体" w:cs="宋体" w:eastAsia="宋体" w:hint="default"/>
                <w:sz w:val="18"/>
                <w:szCs w:val="18"/>
              </w:rPr>
            </w:pPr>
            <w:r>
              <w:rPr>
                <w:rFonts w:ascii="宋体"/>
                <w:sz w:val="18"/>
              </w:rPr>
              <w:t>189,424,930.08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177,736,268.03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z w:val="18"/>
              </w:rPr>
              <w:t>6.58%</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
              <w:ind w:left="103" w:right="0"/>
              <w:jc w:val="left"/>
              <w:rPr>
                <w:rFonts w:ascii="宋体" w:hAnsi="宋体" w:cs="宋体" w:eastAsia="宋体" w:hint="default"/>
                <w:sz w:val="18"/>
                <w:szCs w:val="18"/>
              </w:rPr>
            </w:pPr>
            <w:r>
              <w:rPr>
                <w:rFonts w:ascii="宋体" w:hAnsi="宋体" w:cs="宋体" w:eastAsia="宋体" w:hint="default"/>
                <w:sz w:val="18"/>
                <w:szCs w:val="18"/>
              </w:rPr>
              <w:t>研发人员的增加影响了研发费用的增长</w:t>
            </w:r>
            <w:r>
              <w:rPr>
                <w:rFonts w:ascii="宋体" w:hAnsi="宋体" w:cs="宋体" w:eastAsia="宋体" w:hint="default"/>
                <w:spacing w:val="-45"/>
                <w:sz w:val="18"/>
                <w:szCs w:val="18"/>
              </w:rPr>
              <w:t> </w:t>
            </w:r>
            <w:r>
              <w:rPr>
                <w:rFonts w:ascii="宋体" w:hAnsi="宋体" w:cs="宋体" w:eastAsia="宋体" w:hint="default"/>
                <w:spacing w:val="1"/>
                <w:sz w:val="18"/>
                <w:szCs w:val="18"/>
              </w:rPr>
              <w:t>7</w:t>
            </w:r>
            <w:r>
              <w:rPr>
                <w:rFonts w:ascii="宋体" w:hAnsi="宋体" w:cs="宋体" w:eastAsia="宋体" w:hint="default"/>
                <w:sz w:val="18"/>
                <w:szCs w:val="18"/>
              </w:rPr>
              <w:t>56.03</w:t>
            </w:r>
            <w:r>
              <w:rPr>
                <w:rFonts w:ascii="宋体" w:hAnsi="宋体" w:cs="宋体" w:eastAsia="宋体" w:hint="default"/>
                <w:spacing w:val="-44"/>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差旅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费及招待费增长</w:t>
            </w:r>
            <w:r>
              <w:rPr>
                <w:rFonts w:ascii="宋体" w:hAnsi="宋体" w:cs="宋体" w:eastAsia="宋体" w:hint="default"/>
                <w:spacing w:val="-45"/>
                <w:sz w:val="18"/>
                <w:szCs w:val="18"/>
              </w:rPr>
              <w:t> </w:t>
            </w:r>
            <w:r>
              <w:rPr>
                <w:rFonts w:ascii="宋体" w:hAnsi="宋体" w:cs="宋体" w:eastAsia="宋体" w:hint="default"/>
                <w:sz w:val="18"/>
                <w:szCs w:val="18"/>
              </w:rPr>
              <w:t>507.74</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71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-4,279,840.36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-1,157,351.54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-269.80%</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年银行贷款减少，相对应利息支出减少</w:t>
            </w:r>
            <w:r>
              <w:rPr>
                <w:rFonts w:ascii="宋体" w:hAnsi="宋体" w:cs="宋体" w:eastAsia="宋体" w:hint="default"/>
                <w:spacing w:val="-45"/>
                <w:sz w:val="18"/>
                <w:szCs w:val="18"/>
              </w:rPr>
              <w:t> </w:t>
            </w:r>
            <w:r>
              <w:rPr>
                <w:rFonts w:ascii="宋体" w:hAnsi="宋体" w:cs="宋体" w:eastAsia="宋体" w:hint="default"/>
                <w:sz w:val="18"/>
                <w:szCs w:val="18"/>
              </w:rPr>
              <w:t>237</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3"/>
                <w:sz w:val="18"/>
                <w:szCs w:val="18"/>
              </w:rPr>
              <w:t>购买的理财产品增加利息收入 </w:t>
            </w:r>
            <w:r>
              <w:rPr>
                <w:rFonts w:ascii="宋体" w:hAnsi="宋体" w:cs="宋体" w:eastAsia="宋体" w:hint="default"/>
                <w:sz w:val="18"/>
                <w:szCs w:val="18"/>
              </w:rPr>
              <w:t>105</w:t>
            </w:r>
            <w:r>
              <w:rPr>
                <w:rFonts w:ascii="宋体" w:hAnsi="宋体" w:cs="宋体" w:eastAsia="宋体" w:hint="default"/>
                <w:spacing w:val="11"/>
                <w:sz w:val="18"/>
                <w:szCs w:val="18"/>
              </w:rPr>
              <w:t> </w:t>
            </w:r>
            <w:r>
              <w:rPr>
                <w:rFonts w:ascii="宋体" w:hAnsi="宋体" w:cs="宋体" w:eastAsia="宋体" w:hint="default"/>
                <w:spacing w:val="3"/>
                <w:sz w:val="18"/>
                <w:szCs w:val="18"/>
              </w:rPr>
              <w:t>万元按会计准则要</w:t>
            </w:r>
            <w:r>
              <w:rPr>
                <w:rFonts w:ascii="宋体" w:hAnsi="宋体" w:cs="宋体" w:eastAsia="宋体" w:hint="default"/>
                <w:sz w:val="18"/>
                <w:szCs w:val="18"/>
              </w:rPr>
              <w:t> 求，冲减财务费用金额较上年增加。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326" w:lineRule="auto" w:before="36"/>
        <w:ind w:left="813" w:right="0"/>
        <w:jc w:val="left"/>
      </w:pPr>
      <w:r>
        <w:rPr/>
        <w:t>(四) 研发投入</w:t>
      </w:r>
      <w:r>
        <w:rPr>
          <w:spacing w:val="-104"/>
        </w:rPr>
        <w:t> </w:t>
      </w:r>
      <w:r>
        <w:rPr>
          <w:spacing w:val="-104"/>
        </w:rPr>
      </w:r>
      <w:r>
        <w:rPr/>
        <w:t>1、公司本年度进行研发项目的目的、项目进展和拟达到的目标及预计对公司未来发展影响的</w:t>
      </w:r>
    </w:p>
    <w:p>
      <w:pPr>
        <w:spacing w:after="0" w:line="326" w:lineRule="auto"/>
        <w:jc w:val="left"/>
        <w:sectPr>
          <w:pgSz w:w="11910" w:h="16840"/>
          <w:pgMar w:header="884" w:footer="1000" w:top="1140" w:bottom="1200" w:left="1080" w:right="900"/>
        </w:sectPr>
      </w:pPr>
    </w:p>
    <w:p>
      <w:pPr>
        <w:pStyle w:val="BodyText"/>
        <w:spacing w:line="240" w:lineRule="auto" w:before="131"/>
        <w:ind w:left="393" w:right="1174"/>
        <w:jc w:val="left"/>
      </w:pPr>
      <w:r>
        <w:rPr/>
        <w:t>说明见下表：</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576"/>
        <w:gridCol w:w="1469"/>
        <w:gridCol w:w="2390"/>
        <w:gridCol w:w="3516"/>
        <w:gridCol w:w="1687"/>
      </w:tblGrid>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研发目的</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项目进展和拟达到的目标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预计对公司未来发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展的影响</w:t>
            </w:r>
          </w:p>
        </w:tc>
      </w:tr>
      <w:tr>
        <w:trPr>
          <w:trHeight w:val="251"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351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已经研发完成。已取得国家版权局软件著</w:t>
            </w:r>
          </w:p>
        </w:tc>
        <w:tc>
          <w:tcPr>
            <w:tcW w:w="168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sz w:val="18"/>
              </w:rPr>
              <w:t>(1)</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96"/>
              <w:jc w:val="both"/>
              <w:rPr>
                <w:rFonts w:ascii="宋体" w:hAnsi="宋体" w:cs="宋体" w:eastAsia="宋体" w:hint="default"/>
                <w:sz w:val="18"/>
                <w:szCs w:val="18"/>
              </w:rPr>
            </w:pPr>
            <w:r>
              <w:rPr>
                <w:rFonts w:ascii="宋体" w:hAnsi="宋体" w:cs="宋体" w:eastAsia="宋体" w:hint="default"/>
                <w:sz w:val="18"/>
                <w:szCs w:val="18"/>
              </w:rPr>
              <w:t>跨</w:t>
            </w:r>
            <w:r>
              <w:rPr>
                <w:rFonts w:ascii="宋体" w:hAnsi="宋体" w:cs="宋体" w:eastAsia="宋体" w:hint="default"/>
                <w:spacing w:val="-54"/>
                <w:sz w:val="18"/>
                <w:szCs w:val="18"/>
              </w:rPr>
              <w:t> </w:t>
            </w:r>
            <w:r>
              <w:rPr>
                <w:rFonts w:ascii="宋体" w:hAnsi="宋体" w:cs="宋体" w:eastAsia="宋体" w:hint="default"/>
                <w:sz w:val="18"/>
                <w:szCs w:val="18"/>
              </w:rPr>
              <w:t>区</w:t>
            </w:r>
            <w:r>
              <w:rPr>
                <w:rFonts w:ascii="宋体" w:hAnsi="宋体" w:cs="宋体" w:eastAsia="宋体" w:hint="default"/>
                <w:spacing w:val="-54"/>
                <w:sz w:val="18"/>
                <w:szCs w:val="18"/>
              </w:rPr>
              <w:t> </w:t>
            </w:r>
            <w:r>
              <w:rPr>
                <w:rFonts w:ascii="宋体" w:hAnsi="宋体" w:cs="宋体" w:eastAsia="宋体" w:hint="default"/>
                <w:sz w:val="18"/>
                <w:szCs w:val="18"/>
              </w:rPr>
              <w:t>域</w:t>
            </w:r>
            <w:r>
              <w:rPr>
                <w:rFonts w:ascii="宋体" w:hAnsi="宋体" w:cs="宋体" w:eastAsia="宋体" w:hint="default"/>
                <w:spacing w:val="-57"/>
                <w:sz w:val="18"/>
                <w:szCs w:val="18"/>
              </w:rPr>
              <w:t> </w:t>
            </w:r>
            <w:r>
              <w:rPr>
                <w:rFonts w:ascii="宋体" w:hAnsi="宋体" w:cs="宋体" w:eastAsia="宋体" w:hint="default"/>
                <w:sz w:val="18"/>
                <w:szCs w:val="18"/>
              </w:rPr>
              <w:t>农</w:t>
            </w:r>
            <w:r>
              <w:rPr>
                <w:rFonts w:ascii="宋体" w:hAnsi="宋体" w:cs="宋体" w:eastAsia="宋体" w:hint="default"/>
                <w:spacing w:val="-54"/>
                <w:sz w:val="18"/>
                <w:szCs w:val="18"/>
              </w:rPr>
              <w:t> </w:t>
            </w:r>
            <w:r>
              <w:rPr>
                <w:rFonts w:ascii="宋体" w:hAnsi="宋体" w:cs="宋体" w:eastAsia="宋体" w:hint="default"/>
                <w:sz w:val="18"/>
                <w:szCs w:val="18"/>
              </w:rPr>
              <w:t>村</w:t>
            </w:r>
            <w:r>
              <w:rPr>
                <w:rFonts w:ascii="宋体" w:hAnsi="宋体" w:cs="宋体" w:eastAsia="宋体" w:hint="default"/>
                <w:spacing w:val="-54"/>
                <w:sz w:val="18"/>
                <w:szCs w:val="18"/>
              </w:rPr>
              <w:t> </w:t>
            </w:r>
            <w:r>
              <w:rPr>
                <w:rFonts w:ascii="宋体" w:hAnsi="宋体" w:cs="宋体" w:eastAsia="宋体" w:hint="default"/>
                <w:sz w:val="18"/>
                <w:szCs w:val="18"/>
              </w:rPr>
              <w:t>电</w:t>
            </w:r>
            <w:r>
              <w:rPr>
                <w:rFonts w:ascii="宋体" w:hAnsi="宋体" w:cs="宋体" w:eastAsia="宋体" w:hint="default"/>
                <w:sz w:val="18"/>
                <w:szCs w:val="18"/>
              </w:rPr>
              <w:t> 商</w:t>
            </w:r>
            <w:r>
              <w:rPr>
                <w:rFonts w:ascii="宋体" w:hAnsi="宋体" w:cs="宋体" w:eastAsia="宋体" w:hint="default"/>
                <w:spacing w:val="-54"/>
                <w:sz w:val="18"/>
                <w:szCs w:val="18"/>
              </w:rPr>
              <w:t> </w:t>
            </w:r>
            <w:r>
              <w:rPr>
                <w:rFonts w:ascii="宋体" w:hAnsi="宋体" w:cs="宋体" w:eastAsia="宋体" w:hint="default"/>
                <w:sz w:val="18"/>
                <w:szCs w:val="18"/>
              </w:rPr>
              <w:t>精</w:t>
            </w:r>
            <w:r>
              <w:rPr>
                <w:rFonts w:ascii="宋体" w:hAnsi="宋体" w:cs="宋体" w:eastAsia="宋体" w:hint="default"/>
                <w:spacing w:val="-54"/>
                <w:sz w:val="18"/>
                <w:szCs w:val="18"/>
              </w:rPr>
              <w:t> </w:t>
            </w:r>
            <w:r>
              <w:rPr>
                <w:rFonts w:ascii="宋体" w:hAnsi="宋体" w:cs="宋体" w:eastAsia="宋体" w:hint="default"/>
                <w:sz w:val="18"/>
                <w:szCs w:val="18"/>
              </w:rPr>
              <w:t>准</w:t>
            </w:r>
            <w:r>
              <w:rPr>
                <w:rFonts w:ascii="宋体" w:hAnsi="宋体" w:cs="宋体" w:eastAsia="宋体" w:hint="default"/>
                <w:spacing w:val="-57"/>
                <w:sz w:val="18"/>
                <w:szCs w:val="18"/>
              </w:rPr>
              <w:t> </w:t>
            </w:r>
            <w:r>
              <w:rPr>
                <w:rFonts w:ascii="宋体" w:hAnsi="宋体" w:cs="宋体" w:eastAsia="宋体" w:hint="default"/>
                <w:sz w:val="18"/>
                <w:szCs w:val="18"/>
              </w:rPr>
              <w:t>营</w:t>
            </w:r>
            <w:r>
              <w:rPr>
                <w:rFonts w:ascii="宋体" w:hAnsi="宋体" w:cs="宋体" w:eastAsia="宋体" w:hint="default"/>
                <w:spacing w:val="-54"/>
                <w:sz w:val="18"/>
                <w:szCs w:val="18"/>
              </w:rPr>
              <w:t> </w:t>
            </w:r>
            <w:r>
              <w:rPr>
                <w:rFonts w:ascii="宋体" w:hAnsi="宋体" w:cs="宋体" w:eastAsia="宋体" w:hint="default"/>
                <w:sz w:val="18"/>
                <w:szCs w:val="18"/>
              </w:rPr>
              <w:t>销</w:t>
            </w:r>
            <w:r>
              <w:rPr>
                <w:rFonts w:ascii="宋体" w:hAnsi="宋体" w:cs="宋体" w:eastAsia="宋体" w:hint="default"/>
                <w:spacing w:val="-54"/>
                <w:sz w:val="18"/>
                <w:szCs w:val="18"/>
              </w:rPr>
              <w:t> </w:t>
            </w:r>
            <w:r>
              <w:rPr>
                <w:rFonts w:ascii="宋体" w:hAnsi="宋体" w:cs="宋体" w:eastAsia="宋体" w:hint="default"/>
                <w:sz w:val="18"/>
                <w:szCs w:val="18"/>
              </w:rPr>
              <w:t>平</w:t>
            </w:r>
            <w:r>
              <w:rPr>
                <w:rFonts w:ascii="宋体" w:hAnsi="宋体" w:cs="宋体" w:eastAsia="宋体" w:hint="default"/>
                <w:sz w:val="18"/>
                <w:szCs w:val="18"/>
              </w:rPr>
              <w:t> 台</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z w:val="18"/>
                <w:szCs w:val="18"/>
              </w:rPr>
              <w:t>打造工业品和生活用品下乡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及农产品进城的便利渠道。</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作权《基于跨区域农村电商精准营销平台</w:t>
            </w:r>
          </w:p>
          <w:p>
            <w:pPr>
              <w:pStyle w:val="TableParagraph"/>
              <w:spacing w:line="232" w:lineRule="exact" w:before="24"/>
              <w:ind w:left="103" w:right="12"/>
              <w:jc w:val="left"/>
              <w:rPr>
                <w:rFonts w:ascii="宋体" w:hAnsi="宋体" w:cs="宋体" w:eastAsia="宋体" w:hint="default"/>
                <w:sz w:val="18"/>
                <w:szCs w:val="18"/>
              </w:rPr>
            </w:pPr>
            <w:r>
              <w:rPr>
                <w:rFonts w:ascii="宋体" w:hAnsi="宋体" w:cs="宋体" w:eastAsia="宋体" w:hint="default"/>
                <w:sz w:val="18"/>
                <w:szCs w:val="18"/>
              </w:rPr>
              <w:t>V1.0》(软著登字第 1478249</w:t>
            </w:r>
            <w:r>
              <w:rPr>
                <w:rFonts w:ascii="宋体" w:hAnsi="宋体" w:cs="宋体" w:eastAsia="宋体" w:hint="default"/>
                <w:spacing w:val="-34"/>
                <w:sz w:val="18"/>
                <w:szCs w:val="18"/>
              </w:rPr>
              <w:t> </w:t>
            </w:r>
            <w:r>
              <w:rPr>
                <w:rFonts w:ascii="宋体" w:hAnsi="宋体" w:cs="宋体" w:eastAsia="宋体" w:hint="default"/>
                <w:sz w:val="18"/>
                <w:szCs w:val="18"/>
              </w:rPr>
              <w:t>号)，实现工</w:t>
            </w:r>
            <w:r>
              <w:rPr>
                <w:rFonts w:ascii="宋体" w:hAnsi="宋体" w:cs="宋体" w:eastAsia="宋体" w:hint="default"/>
                <w:sz w:val="18"/>
                <w:szCs w:val="18"/>
              </w:rPr>
              <w:t> </w:t>
            </w:r>
            <w:r>
              <w:rPr>
                <w:rFonts w:ascii="宋体" w:hAnsi="宋体" w:cs="宋体" w:eastAsia="宋体" w:hint="default"/>
                <w:spacing w:val="-2"/>
                <w:sz w:val="18"/>
                <w:szCs w:val="18"/>
              </w:rPr>
              <w:t>业品向农村的销售，农产品向城市的销售，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农村社区粘性服务，以及本地特色产品全</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3516"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网销售。</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29"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351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已经进入测试阶段，预计近期上线。已取</w:t>
            </w:r>
          </w:p>
        </w:tc>
        <w:tc>
          <w:tcPr>
            <w:tcW w:w="1687" w:type="dxa"/>
            <w:tcBorders>
              <w:top w:val="nil" w:sz="6" w:space="0" w:color="auto"/>
              <w:left w:val="single" w:sz="4" w:space="0" w:color="000000"/>
              <w:bottom w:val="nil" w:sz="6" w:space="0" w:color="auto"/>
              <w:right w:val="single" w:sz="4" w:space="0" w:color="000000"/>
            </w:tcBorders>
          </w:tcPr>
          <w:p>
            <w:pPr/>
          </w:p>
        </w:tc>
      </w:tr>
      <w:tr>
        <w:trPr>
          <w:trHeight w:val="708"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left"/>
              <w:rPr>
                <w:rFonts w:ascii="宋体" w:hAnsi="宋体" w:cs="宋体" w:eastAsia="宋体" w:hint="default"/>
                <w:sz w:val="18"/>
                <w:szCs w:val="18"/>
              </w:rPr>
            </w:pPr>
            <w:r>
              <w:rPr>
                <w:rFonts w:ascii="宋体"/>
                <w:sz w:val="18"/>
              </w:rPr>
              <w:t>(2)</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2" w:lineRule="exact" w:before="120"/>
              <w:ind w:left="103" w:right="96"/>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4"/>
                <w:sz w:val="18"/>
                <w:szCs w:val="18"/>
              </w:rPr>
              <w:t> </w:t>
            </w:r>
            <w:r>
              <w:rPr>
                <w:rFonts w:ascii="宋体" w:hAnsi="宋体" w:cs="宋体" w:eastAsia="宋体" w:hint="default"/>
                <w:sz w:val="18"/>
                <w:szCs w:val="18"/>
              </w:rPr>
              <w:t>销</w:t>
            </w:r>
            <w:r>
              <w:rPr>
                <w:rFonts w:ascii="宋体" w:hAnsi="宋体" w:cs="宋体" w:eastAsia="宋体" w:hint="default"/>
                <w:spacing w:val="-54"/>
                <w:sz w:val="18"/>
                <w:szCs w:val="18"/>
              </w:rPr>
              <w:t> </w:t>
            </w:r>
            <w:r>
              <w:rPr>
                <w:rFonts w:ascii="宋体" w:hAnsi="宋体" w:cs="宋体" w:eastAsia="宋体" w:hint="default"/>
                <w:sz w:val="18"/>
                <w:szCs w:val="18"/>
              </w:rPr>
              <w:t>服</w:t>
            </w:r>
            <w:r>
              <w:rPr>
                <w:rFonts w:ascii="宋体" w:hAnsi="宋体" w:cs="宋体" w:eastAsia="宋体" w:hint="default"/>
                <w:spacing w:val="-57"/>
                <w:sz w:val="18"/>
                <w:szCs w:val="18"/>
              </w:rPr>
              <w:t> </w:t>
            </w:r>
            <w:r>
              <w:rPr>
                <w:rFonts w:ascii="宋体" w:hAnsi="宋体" w:cs="宋体" w:eastAsia="宋体" w:hint="default"/>
                <w:sz w:val="18"/>
                <w:szCs w:val="18"/>
              </w:rPr>
              <w:t>务</w:t>
            </w:r>
            <w:r>
              <w:rPr>
                <w:rFonts w:ascii="宋体" w:hAnsi="宋体" w:cs="宋体" w:eastAsia="宋体" w:hint="default"/>
                <w:spacing w:val="-54"/>
                <w:sz w:val="18"/>
                <w:szCs w:val="18"/>
              </w:rPr>
              <w:t> </w:t>
            </w:r>
            <w:r>
              <w:rPr>
                <w:rFonts w:ascii="宋体" w:hAnsi="宋体" w:cs="宋体" w:eastAsia="宋体" w:hint="default"/>
                <w:sz w:val="18"/>
                <w:szCs w:val="18"/>
              </w:rPr>
              <w:t>支</w:t>
            </w:r>
            <w:r>
              <w:rPr>
                <w:rFonts w:ascii="宋体" w:hAnsi="宋体" w:cs="宋体" w:eastAsia="宋体" w:hint="default"/>
                <w:spacing w:val="-54"/>
                <w:sz w:val="18"/>
                <w:szCs w:val="18"/>
              </w:rPr>
              <w:t> </w:t>
            </w:r>
            <w:r>
              <w:rPr>
                <w:rFonts w:ascii="宋体" w:hAnsi="宋体" w:cs="宋体" w:eastAsia="宋体" w:hint="default"/>
                <w:sz w:val="18"/>
                <w:szCs w:val="18"/>
              </w:rPr>
              <w:t>撑</w:t>
            </w:r>
            <w:r>
              <w:rPr>
                <w:rFonts w:ascii="宋体" w:hAnsi="宋体" w:cs="宋体" w:eastAsia="宋体" w:hint="default"/>
                <w:sz w:val="18"/>
                <w:szCs w:val="18"/>
              </w:rPr>
              <w:t> 系统</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降低保险公司的成本。</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得国家版权局软件著作权《营销管理支撑</w:t>
            </w:r>
          </w:p>
          <w:p>
            <w:pPr>
              <w:pStyle w:val="TableParagraph"/>
              <w:spacing w:line="232" w:lineRule="exact" w:before="24"/>
              <w:ind w:left="103" w:right="12"/>
              <w:jc w:val="left"/>
              <w:rPr>
                <w:rFonts w:ascii="宋体" w:hAnsi="宋体" w:cs="宋体" w:eastAsia="宋体" w:hint="default"/>
                <w:sz w:val="18"/>
                <w:szCs w:val="18"/>
              </w:rPr>
            </w:pPr>
            <w:r>
              <w:rPr>
                <w:rFonts w:ascii="宋体" w:hAnsi="宋体" w:cs="宋体" w:eastAsia="宋体" w:hint="default"/>
                <w:sz w:val="18"/>
                <w:szCs w:val="18"/>
              </w:rPr>
              <w:t>系统</w:t>
            </w:r>
            <w:r>
              <w:rPr>
                <w:rFonts w:ascii="宋体" w:hAnsi="宋体" w:cs="宋体" w:eastAsia="宋体" w:hint="default"/>
                <w:spacing w:val="-41"/>
                <w:sz w:val="18"/>
                <w:szCs w:val="18"/>
              </w:rPr>
              <w:t> </w:t>
            </w:r>
            <w:r>
              <w:rPr>
                <w:rFonts w:ascii="宋体" w:hAnsi="宋体" w:cs="宋体" w:eastAsia="宋体" w:hint="default"/>
                <w:sz w:val="18"/>
                <w:szCs w:val="18"/>
              </w:rPr>
              <w:t>V1.0》(软著登字第</w:t>
            </w:r>
            <w:r>
              <w:rPr>
                <w:rFonts w:ascii="宋体" w:hAnsi="宋体" w:cs="宋体" w:eastAsia="宋体" w:hint="default"/>
                <w:spacing w:val="-43"/>
                <w:sz w:val="18"/>
                <w:szCs w:val="18"/>
              </w:rPr>
              <w:t> </w:t>
            </w:r>
            <w:r>
              <w:rPr>
                <w:rFonts w:ascii="宋体" w:hAnsi="宋体" w:cs="宋体" w:eastAsia="宋体" w:hint="default"/>
                <w:sz w:val="18"/>
                <w:szCs w:val="18"/>
              </w:rPr>
              <w:t>1479507</w:t>
            </w:r>
            <w:r>
              <w:rPr>
                <w:rFonts w:ascii="宋体" w:hAnsi="宋体" w:cs="宋体" w:eastAsia="宋体" w:hint="default"/>
                <w:spacing w:val="-40"/>
                <w:sz w:val="18"/>
                <w:szCs w:val="18"/>
              </w:rPr>
              <w:t> </w:t>
            </w:r>
            <w:r>
              <w:rPr>
                <w:rFonts w:ascii="宋体" w:hAnsi="宋体" w:cs="宋体" w:eastAsia="宋体" w:hint="default"/>
                <w:sz w:val="18"/>
                <w:szCs w:val="18"/>
              </w:rPr>
              <w:t>号)，实</w:t>
            </w:r>
            <w:r>
              <w:rPr>
                <w:rFonts w:ascii="宋体" w:hAnsi="宋体" w:cs="宋体" w:eastAsia="宋体" w:hint="default"/>
                <w:sz w:val="18"/>
                <w:szCs w:val="18"/>
              </w:rPr>
              <w:t> </w:t>
            </w:r>
            <w:r>
              <w:rPr>
                <w:rFonts w:ascii="宋体" w:hAnsi="宋体" w:cs="宋体" w:eastAsia="宋体" w:hint="default"/>
                <w:spacing w:val="-2"/>
                <w:sz w:val="18"/>
                <w:szCs w:val="18"/>
              </w:rPr>
              <w:t>现保险公司对保险代理人进行管理、激励，</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产品已开始出售，</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3"/>
                <w:sz w:val="18"/>
                <w:szCs w:val="18"/>
              </w:rPr>
              <w:t>增加公司软件开发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及应用业务收入。</w:t>
            </w:r>
          </w:p>
        </w:tc>
      </w:tr>
      <w:tr>
        <w:trPr>
          <w:trHeight w:val="239"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351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促进保险产品快速出单。</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3516"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仍在研发，包括后期升级和新功能开发。</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576"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报告期取得国家版权局软件著作权《自助</w:t>
            </w:r>
          </w:p>
        </w:tc>
        <w:tc>
          <w:tcPr>
            <w:tcW w:w="1687"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46" w:right="0"/>
              <w:jc w:val="left"/>
              <w:rPr>
                <w:rFonts w:ascii="宋体" w:hAnsi="宋体" w:cs="宋体" w:eastAsia="宋体" w:hint="default"/>
                <w:sz w:val="18"/>
                <w:szCs w:val="18"/>
              </w:rPr>
            </w:pPr>
            <w:r>
              <w:rPr>
                <w:rFonts w:ascii="宋体"/>
                <w:sz w:val="18"/>
              </w:rPr>
              <w:t>(3)</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宋体" w:hAnsi="宋体" w:cs="宋体" w:eastAsia="宋体" w:hint="default"/>
                <w:sz w:val="18"/>
                <w:szCs w:val="18"/>
              </w:rPr>
              <w:t>助</w:t>
            </w:r>
            <w:r>
              <w:rPr>
                <w:rFonts w:ascii="宋体" w:hAnsi="宋体" w:cs="宋体" w:eastAsia="宋体" w:hint="default"/>
                <w:spacing w:val="-54"/>
                <w:sz w:val="18"/>
                <w:szCs w:val="18"/>
              </w:rPr>
              <w:t> </w:t>
            </w:r>
            <w:r>
              <w:rPr>
                <w:rFonts w:ascii="宋体" w:hAnsi="宋体" w:cs="宋体" w:eastAsia="宋体" w:hint="default"/>
                <w:sz w:val="18"/>
                <w:szCs w:val="18"/>
              </w:rPr>
              <w:t>理</w:t>
            </w:r>
            <w:r>
              <w:rPr>
                <w:rFonts w:ascii="宋体" w:hAnsi="宋体" w:cs="宋体" w:eastAsia="宋体" w:hint="default"/>
                <w:spacing w:val="-57"/>
                <w:sz w:val="18"/>
                <w:szCs w:val="18"/>
              </w:rPr>
              <w:t> </w:t>
            </w:r>
            <w:r>
              <w:rPr>
                <w:rFonts w:ascii="宋体" w:hAnsi="宋体" w:cs="宋体" w:eastAsia="宋体" w:hint="default"/>
                <w:sz w:val="18"/>
                <w:szCs w:val="18"/>
              </w:rPr>
              <w:t>赔</w:t>
            </w:r>
            <w:r>
              <w:rPr>
                <w:rFonts w:ascii="宋体" w:hAnsi="宋体" w:cs="宋体" w:eastAsia="宋体" w:hint="default"/>
                <w:spacing w:val="-54"/>
                <w:sz w:val="18"/>
                <w:szCs w:val="18"/>
              </w:rPr>
              <w:t> </w:t>
            </w: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客户通过手机、掌上电脑等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工具就可以进行自助理赔。</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理赔管理系统</w:t>
            </w:r>
            <w:r>
              <w:rPr>
                <w:rFonts w:ascii="宋体" w:hAnsi="宋体" w:cs="宋体" w:eastAsia="宋体" w:hint="default"/>
                <w:spacing w:val="-40"/>
                <w:sz w:val="18"/>
                <w:szCs w:val="18"/>
              </w:rPr>
              <w:t> </w:t>
            </w:r>
            <w:r>
              <w:rPr>
                <w:rFonts w:ascii="宋体" w:hAnsi="宋体" w:cs="宋体" w:eastAsia="宋体" w:hint="default"/>
                <w:spacing w:val="-4"/>
                <w:sz w:val="18"/>
                <w:szCs w:val="18"/>
              </w:rPr>
              <w:t>V1.0》(软著登字第</w:t>
            </w:r>
            <w:r>
              <w:rPr>
                <w:rFonts w:ascii="宋体" w:hAnsi="宋体" w:cs="宋体" w:eastAsia="宋体" w:hint="default"/>
                <w:spacing w:val="-40"/>
                <w:sz w:val="18"/>
                <w:szCs w:val="18"/>
              </w:rPr>
              <w:t> </w:t>
            </w:r>
            <w:r>
              <w:rPr>
                <w:rFonts w:ascii="宋体" w:hAnsi="宋体" w:cs="宋体" w:eastAsia="宋体" w:hint="default"/>
                <w:sz w:val="18"/>
                <w:szCs w:val="18"/>
              </w:rPr>
              <w:t>1478520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号)，满足理赔条件则自动通知理赔核心系</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576"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统进行自动报案、自动立案、自动理算、</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351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自动核赔、自动结案。</w:t>
            </w:r>
          </w:p>
        </w:tc>
        <w:tc>
          <w:tcPr>
            <w:tcW w:w="1687"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351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一期已经研发完成，短信平台队列处理能</w:t>
            </w:r>
          </w:p>
        </w:tc>
        <w:tc>
          <w:tcPr>
            <w:tcW w:w="1687" w:type="dxa"/>
            <w:tcBorders>
              <w:top w:val="single" w:sz="4" w:space="0" w:color="000000"/>
              <w:left w:val="single" w:sz="4" w:space="0" w:color="000000"/>
              <w:bottom w:val="nil" w:sz="6" w:space="0" w:color="auto"/>
              <w:right w:val="single" w:sz="4" w:space="0" w:color="000000"/>
            </w:tcBorders>
          </w:tcPr>
          <w:p>
            <w:pPr/>
          </w:p>
        </w:tc>
      </w:tr>
      <w:tr>
        <w:trPr>
          <w:trHeight w:val="700"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(4)</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96"/>
              <w:jc w:val="lef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队</w:t>
            </w:r>
            <w:r>
              <w:rPr>
                <w:rFonts w:ascii="宋体" w:hAnsi="宋体" w:cs="宋体" w:eastAsia="宋体" w:hint="default"/>
                <w:spacing w:val="-57"/>
                <w:sz w:val="18"/>
                <w:szCs w:val="18"/>
              </w:rPr>
              <w:t> </w:t>
            </w:r>
            <w:r>
              <w:rPr>
                <w:rFonts w:ascii="宋体" w:hAnsi="宋体" w:cs="宋体" w:eastAsia="宋体" w:hint="default"/>
                <w:sz w:val="18"/>
                <w:szCs w:val="18"/>
              </w:rPr>
              <w:t>列</w:t>
            </w:r>
            <w:r>
              <w:rPr>
                <w:rFonts w:ascii="宋体" w:hAnsi="宋体" w:cs="宋体" w:eastAsia="宋体" w:hint="default"/>
                <w:spacing w:val="-54"/>
                <w:sz w:val="18"/>
                <w:szCs w:val="18"/>
              </w:rPr>
              <w:t> </w:t>
            </w:r>
            <w:r>
              <w:rPr>
                <w:rFonts w:ascii="宋体" w:hAnsi="宋体" w:cs="宋体" w:eastAsia="宋体" w:hint="default"/>
                <w:sz w:val="18"/>
                <w:szCs w:val="18"/>
              </w:rPr>
              <w:t>管</w:t>
            </w:r>
            <w:r>
              <w:rPr>
                <w:rFonts w:ascii="宋体" w:hAnsi="宋体" w:cs="宋体" w:eastAsia="宋体" w:hint="default"/>
                <w:spacing w:val="-54"/>
                <w:sz w:val="18"/>
                <w:szCs w:val="18"/>
              </w:rPr>
              <w:t> </w:t>
            </w:r>
            <w:r>
              <w:rPr>
                <w:rFonts w:ascii="宋体" w:hAnsi="宋体" w:cs="宋体" w:eastAsia="宋体" w:hint="default"/>
                <w:sz w:val="18"/>
                <w:szCs w:val="18"/>
              </w:rPr>
              <w:t>理</w:t>
            </w:r>
            <w:r>
              <w:rPr>
                <w:rFonts w:ascii="宋体" w:hAnsi="宋体" w:cs="宋体" w:eastAsia="宋体" w:hint="default"/>
                <w:sz w:val="18"/>
                <w:szCs w:val="18"/>
              </w:rPr>
              <w:t> 软件系统</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增强短信队列处理能力与稳</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定性，以适应持续增长的短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信业务规模。</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力与平台稳定性得到了很大提高。接下来</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pacing w:val="2"/>
                <w:sz w:val="18"/>
                <w:szCs w:val="18"/>
              </w:rPr>
              <w:t>开始二期的研发工作，主要目标是进一步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提升现有平台的队列处理能力与稳定性，</w:t>
            </w:r>
          </w:p>
        </w:tc>
        <w:tc>
          <w:tcPr>
            <w:tcW w:w="1687"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351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为公司的业绩目标提供良好的保障。</w:t>
            </w:r>
          </w:p>
        </w:tc>
        <w:tc>
          <w:tcPr>
            <w:tcW w:w="1687" w:type="dxa"/>
            <w:tcBorders>
              <w:top w:val="nil" w:sz="6" w:space="0" w:color="auto"/>
              <w:left w:val="single" w:sz="4" w:space="0" w:color="000000"/>
              <w:bottom w:val="nil" w:sz="6" w:space="0" w:color="auto"/>
              <w:right w:val="single" w:sz="4" w:space="0" w:color="000000"/>
            </w:tcBorders>
          </w:tcPr>
          <w:p>
            <w:pPr/>
          </w:p>
        </w:tc>
      </w:tr>
      <w:tr>
        <w:trPr>
          <w:trHeight w:val="94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sz w:val="18"/>
              </w:rPr>
              <w:t>(5)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z w:val="18"/>
                <w:szCs w:val="18"/>
              </w:rPr>
              <w:t>短</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数</w:t>
            </w:r>
            <w:r>
              <w:rPr>
                <w:rFonts w:ascii="宋体" w:hAnsi="宋体" w:cs="宋体" w:eastAsia="宋体" w:hint="default"/>
                <w:spacing w:val="-57"/>
                <w:sz w:val="18"/>
                <w:szCs w:val="18"/>
              </w:rPr>
              <w:t> </w:t>
            </w:r>
            <w:r>
              <w:rPr>
                <w:rFonts w:ascii="宋体" w:hAnsi="宋体" w:cs="宋体" w:eastAsia="宋体" w:hint="default"/>
                <w:sz w:val="18"/>
                <w:szCs w:val="18"/>
              </w:rPr>
              <w:t>据</w:t>
            </w:r>
            <w:r>
              <w:rPr>
                <w:rFonts w:ascii="宋体" w:hAnsi="宋体" w:cs="宋体" w:eastAsia="宋体" w:hint="default"/>
                <w:spacing w:val="-54"/>
                <w:sz w:val="18"/>
                <w:szCs w:val="18"/>
              </w:rPr>
              <w:t> </w:t>
            </w:r>
            <w:r>
              <w:rPr>
                <w:rFonts w:ascii="宋体" w:hAnsi="宋体" w:cs="宋体" w:eastAsia="宋体" w:hint="default"/>
                <w:sz w:val="18"/>
                <w:szCs w:val="18"/>
              </w:rPr>
              <w:t>处</w:t>
            </w:r>
            <w:r>
              <w:rPr>
                <w:rFonts w:ascii="宋体" w:hAnsi="宋体" w:cs="宋体" w:eastAsia="宋体" w:hint="default"/>
                <w:spacing w:val="-54"/>
                <w:sz w:val="18"/>
                <w:szCs w:val="18"/>
              </w:rPr>
              <w:t> </w:t>
            </w:r>
            <w:r>
              <w:rPr>
                <w:rFonts w:ascii="宋体" w:hAnsi="宋体" w:cs="宋体" w:eastAsia="宋体" w:hint="default"/>
                <w:sz w:val="18"/>
                <w:szCs w:val="18"/>
              </w:rPr>
              <w:t>理</w:t>
            </w:r>
            <w:r>
              <w:rPr>
                <w:rFonts w:ascii="宋体" w:hAnsi="宋体" w:cs="宋体" w:eastAsia="宋体" w:hint="default"/>
                <w:sz w:val="18"/>
                <w:szCs w:val="18"/>
              </w:rPr>
              <w:t> 软件系统</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98"/>
              <w:jc w:val="both"/>
              <w:rPr>
                <w:rFonts w:ascii="宋体" w:hAnsi="宋体" w:cs="宋体" w:eastAsia="宋体" w:hint="default"/>
                <w:sz w:val="18"/>
                <w:szCs w:val="18"/>
              </w:rPr>
            </w:pPr>
            <w:r>
              <w:rPr>
                <w:rFonts w:ascii="宋体" w:hAnsi="宋体" w:cs="宋体" w:eastAsia="宋体" w:hint="default"/>
                <w:sz w:val="18"/>
                <w:szCs w:val="18"/>
              </w:rPr>
              <w:t>挖掘短信发送与接收数据，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通过对数据系统化分析，发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现价值。</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已经研发完成，大大提升了现有平台的数</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pacing w:val="2"/>
                <w:sz w:val="18"/>
                <w:szCs w:val="18"/>
              </w:rPr>
              <w:t>据分析能力与数据分析规模。后续会根据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新需求继续研发工能更完善的短信数据处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理软件系统。</w:t>
            </w:r>
          </w:p>
        </w:tc>
        <w:tc>
          <w:tcPr>
            <w:tcW w:w="1687" w:type="dxa"/>
            <w:vMerge w:val="restart"/>
            <w:tcBorders>
              <w:top w:val="nil" w:sz="6" w:space="0" w:color="auto"/>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3"/>
                <w:sz w:val="18"/>
                <w:szCs w:val="18"/>
              </w:rPr>
              <w:t>产品已开始出售，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增加公司短信业务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w:t>
            </w:r>
          </w:p>
        </w:tc>
      </w:tr>
      <w:tr>
        <w:trPr>
          <w:trHeight w:val="78"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3516" w:type="dxa"/>
            <w:tcBorders>
              <w:top w:val="single" w:sz="4" w:space="0" w:color="000000"/>
              <w:left w:val="single" w:sz="4" w:space="0" w:color="000000"/>
              <w:bottom w:val="nil" w:sz="6" w:space="0" w:color="auto"/>
              <w:right w:val="single" w:sz="4" w:space="0" w:color="000000"/>
            </w:tcBorders>
          </w:tcPr>
          <w:p>
            <w:pPr/>
          </w:p>
        </w:tc>
        <w:tc>
          <w:tcPr>
            <w:tcW w:w="1687" w:type="dxa"/>
            <w:vMerge/>
            <w:tcBorders>
              <w:left w:val="single" w:sz="4" w:space="0" w:color="000000"/>
              <w:bottom w:val="nil" w:sz="6" w:space="0" w:color="auto"/>
              <w:right w:val="single" w:sz="4" w:space="0" w:color="000000"/>
            </w:tcBorders>
          </w:tcPr>
          <w:p>
            <w:pPr/>
          </w:p>
        </w:tc>
      </w:tr>
      <w:tr>
        <w:trPr>
          <w:trHeight w:val="239" w:hRule="exact"/>
        </w:trPr>
        <w:tc>
          <w:tcPr>
            <w:tcW w:w="576"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整合移动商务引擎软件、综</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仍在研发，被北京市科学技术委员会认定</w:t>
            </w:r>
          </w:p>
        </w:tc>
        <w:tc>
          <w:tcPr>
            <w:tcW w:w="1687" w:type="dxa"/>
            <w:tcBorders>
              <w:top w:val="nil" w:sz="6" w:space="0" w:color="auto"/>
              <w:left w:val="single" w:sz="4" w:space="0" w:color="000000"/>
              <w:bottom w:val="nil" w:sz="6" w:space="0" w:color="auto"/>
              <w:right w:val="single" w:sz="4" w:space="0" w:color="000000"/>
            </w:tcBorders>
          </w:tcPr>
          <w:p>
            <w:pPr/>
          </w:p>
        </w:tc>
      </w:tr>
      <w:tr>
        <w:trPr>
          <w:trHeight w:val="934"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sz w:val="18"/>
              </w:rPr>
              <w:t>(6)</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7" w:lineRule="auto" w:before="89"/>
              <w:ind w:left="103" w:right="96"/>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54"/>
                <w:sz w:val="18"/>
                <w:szCs w:val="18"/>
              </w:rPr>
              <w:t> </w:t>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宋体" w:hAnsi="宋体" w:cs="宋体" w:eastAsia="宋体" w:hint="default"/>
                <w:sz w:val="18"/>
                <w:szCs w:val="18"/>
              </w:rPr>
              <w:t>海</w:t>
            </w:r>
            <w:r>
              <w:rPr>
                <w:rFonts w:ascii="宋体" w:hAnsi="宋体" w:cs="宋体" w:eastAsia="宋体" w:hint="default"/>
                <w:spacing w:val="-57"/>
                <w:sz w:val="18"/>
                <w:szCs w:val="18"/>
              </w:rPr>
              <w:t> </w:t>
            </w:r>
            <w:r>
              <w:rPr>
                <w:rFonts w:ascii="宋体" w:hAnsi="宋体" w:cs="宋体" w:eastAsia="宋体" w:hint="default"/>
                <w:sz w:val="18"/>
                <w:szCs w:val="18"/>
              </w:rPr>
              <w:t>量</w:t>
            </w:r>
            <w:r>
              <w:rPr>
                <w:rFonts w:ascii="宋体" w:hAnsi="宋体" w:cs="宋体" w:eastAsia="宋体" w:hint="default"/>
                <w:spacing w:val="-54"/>
                <w:sz w:val="18"/>
                <w:szCs w:val="18"/>
              </w:rPr>
              <w:t> </w:t>
            </w:r>
            <w:r>
              <w:rPr>
                <w:rFonts w:ascii="宋体" w:hAnsi="宋体" w:cs="宋体" w:eastAsia="宋体" w:hint="default"/>
                <w:sz w:val="18"/>
                <w:szCs w:val="18"/>
              </w:rPr>
              <w:t>移</w:t>
            </w:r>
            <w:r>
              <w:rPr>
                <w:rFonts w:ascii="宋体" w:hAnsi="宋体" w:cs="宋体" w:eastAsia="宋体" w:hint="default"/>
                <w:spacing w:val="-54"/>
                <w:sz w:val="18"/>
                <w:szCs w:val="18"/>
              </w:rPr>
              <w:t> </w:t>
            </w:r>
            <w:r>
              <w:rPr>
                <w:rFonts w:ascii="宋体" w:hAnsi="宋体" w:cs="宋体" w:eastAsia="宋体" w:hint="default"/>
                <w:sz w:val="18"/>
                <w:szCs w:val="18"/>
              </w:rPr>
              <w:t>动</w:t>
            </w:r>
            <w:r>
              <w:rPr>
                <w:rFonts w:ascii="宋体" w:hAnsi="宋体" w:cs="宋体" w:eastAsia="宋体" w:hint="default"/>
                <w:sz w:val="18"/>
                <w:szCs w:val="18"/>
              </w:rPr>
              <w:t> 数</w:t>
            </w:r>
            <w:r>
              <w:rPr>
                <w:rFonts w:ascii="宋体" w:hAnsi="宋体" w:cs="宋体" w:eastAsia="宋体" w:hint="default"/>
                <w:spacing w:val="-54"/>
                <w:sz w:val="18"/>
                <w:szCs w:val="18"/>
              </w:rPr>
              <w:t> </w:t>
            </w:r>
            <w:r>
              <w:rPr>
                <w:rFonts w:ascii="宋体" w:hAnsi="宋体" w:cs="宋体" w:eastAsia="宋体" w:hint="default"/>
                <w:sz w:val="18"/>
                <w:szCs w:val="18"/>
              </w:rPr>
              <w:t>据</w:t>
            </w:r>
            <w:r>
              <w:rPr>
                <w:rFonts w:ascii="宋体" w:hAnsi="宋体" w:cs="宋体" w:eastAsia="宋体" w:hint="default"/>
                <w:spacing w:val="-54"/>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服</w:t>
            </w:r>
            <w:r>
              <w:rPr>
                <w:rFonts w:ascii="宋体" w:hAnsi="宋体" w:cs="宋体" w:eastAsia="宋体" w:hint="default"/>
                <w:spacing w:val="-54"/>
                <w:sz w:val="18"/>
                <w:szCs w:val="18"/>
              </w:rPr>
              <w:t> </w:t>
            </w:r>
            <w:r>
              <w:rPr>
                <w:rFonts w:ascii="宋体" w:hAnsi="宋体" w:cs="宋体" w:eastAsia="宋体" w:hint="default"/>
                <w:sz w:val="18"/>
                <w:szCs w:val="18"/>
              </w:rPr>
              <w:t>务</w:t>
            </w:r>
            <w:r>
              <w:rPr>
                <w:rFonts w:ascii="宋体" w:hAnsi="宋体" w:cs="宋体" w:eastAsia="宋体" w:hint="default"/>
                <w:spacing w:val="-54"/>
                <w:sz w:val="18"/>
                <w:szCs w:val="18"/>
              </w:rPr>
              <w:t> </w:t>
            </w:r>
            <w:r>
              <w:rPr>
                <w:rFonts w:ascii="宋体" w:hAnsi="宋体" w:cs="宋体" w:eastAsia="宋体" w:hint="default"/>
                <w:sz w:val="18"/>
                <w:szCs w:val="18"/>
              </w:rPr>
              <w:t>平</w:t>
            </w:r>
            <w:r>
              <w:rPr>
                <w:rFonts w:ascii="宋体" w:hAnsi="宋体" w:cs="宋体" w:eastAsia="宋体" w:hint="default"/>
                <w:sz w:val="18"/>
                <w:szCs w:val="18"/>
              </w:rPr>
              <w:t> 台成果转化</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合通讯平台软件、即时通讯</w:t>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sz w:val="18"/>
                <w:szCs w:val="18"/>
              </w:rPr>
              <w:t>软件、企业级智能客户关系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管理软件等服务平台，促进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7"/>
                <w:sz w:val="18"/>
                <w:szCs w:val="18"/>
              </w:rPr>
              <w:t>技术成果的高速转化与商</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为 2017</w:t>
            </w:r>
            <w:r>
              <w:rPr>
                <w:rFonts w:ascii="宋体" w:hAnsi="宋体" w:cs="宋体" w:eastAsia="宋体" w:hint="default"/>
                <w:spacing w:val="9"/>
                <w:sz w:val="18"/>
                <w:szCs w:val="18"/>
              </w:rPr>
              <w:t> </w:t>
            </w:r>
            <w:r>
              <w:rPr>
                <w:rFonts w:ascii="宋体" w:hAnsi="宋体" w:cs="宋体" w:eastAsia="宋体" w:hint="default"/>
                <w:spacing w:val="3"/>
                <w:sz w:val="18"/>
                <w:szCs w:val="18"/>
              </w:rPr>
              <w:t>年度北京市高新技术成果转化项</w:t>
            </w:r>
          </w:p>
          <w:p>
            <w:pPr>
              <w:pStyle w:val="TableParagraph"/>
              <w:spacing w:line="232" w:lineRule="exact" w:before="23"/>
              <w:ind w:left="103" w:right="100"/>
              <w:jc w:val="both"/>
              <w:rPr>
                <w:rFonts w:ascii="宋体" w:hAnsi="宋体" w:cs="宋体" w:eastAsia="宋体" w:hint="default"/>
                <w:sz w:val="18"/>
                <w:szCs w:val="18"/>
              </w:rPr>
            </w:pPr>
            <w:r>
              <w:rPr>
                <w:rFonts w:ascii="宋体" w:hAnsi="宋体" w:cs="宋体" w:eastAsia="宋体" w:hint="default"/>
                <w:sz w:val="18"/>
                <w:szCs w:val="18"/>
              </w:rPr>
              <w:t>目，收到了项目拨款资金 300</w:t>
            </w:r>
            <w:r>
              <w:rPr>
                <w:rFonts w:ascii="宋体" w:hAnsi="宋体" w:cs="宋体" w:eastAsia="宋体" w:hint="default"/>
                <w:spacing w:val="-32"/>
                <w:sz w:val="18"/>
                <w:szCs w:val="18"/>
              </w:rPr>
              <w:t> </w:t>
            </w:r>
            <w:r>
              <w:rPr>
                <w:rFonts w:ascii="宋体" w:hAnsi="宋体" w:cs="宋体" w:eastAsia="宋体" w:hint="default"/>
                <w:sz w:val="18"/>
                <w:szCs w:val="18"/>
              </w:rPr>
              <w:t>万元。实现</w:t>
            </w:r>
            <w:r>
              <w:rPr>
                <w:rFonts w:ascii="宋体" w:hAnsi="宋体" w:cs="宋体" w:eastAsia="宋体" w:hint="default"/>
                <w:sz w:val="18"/>
                <w:szCs w:val="18"/>
              </w:rPr>
              <w:t> 基于 SOA</w:t>
            </w:r>
            <w:r>
              <w:rPr>
                <w:rFonts w:ascii="宋体" w:hAnsi="宋体" w:cs="宋体" w:eastAsia="宋体" w:hint="default"/>
                <w:spacing w:val="-32"/>
                <w:sz w:val="18"/>
                <w:szCs w:val="18"/>
              </w:rPr>
              <w:t> </w:t>
            </w:r>
            <w:r>
              <w:rPr>
                <w:rFonts w:ascii="宋体" w:hAnsi="宋体" w:cs="宋体" w:eastAsia="宋体" w:hint="default"/>
                <w:sz w:val="18"/>
                <w:szCs w:val="18"/>
              </w:rPr>
              <w:t>的移动数据服务平台技术、基于</w:t>
            </w:r>
            <w:r>
              <w:rPr>
                <w:rFonts w:ascii="宋体" w:hAnsi="宋体" w:cs="宋体" w:eastAsia="宋体" w:hint="default"/>
                <w:sz w:val="18"/>
                <w:szCs w:val="18"/>
              </w:rPr>
              <w:t> </w:t>
            </w:r>
            <w:r>
              <w:rPr>
                <w:rFonts w:ascii="宋体" w:hAnsi="宋体" w:cs="宋体" w:eastAsia="宋体" w:hint="default"/>
                <w:spacing w:val="2"/>
                <w:sz w:val="18"/>
                <w:szCs w:val="18"/>
              </w:rPr>
              <w:t>负载均衡的大数据分布式缓存技术等关键</w:t>
            </w:r>
          </w:p>
        </w:tc>
        <w:tc>
          <w:tcPr>
            <w:tcW w:w="168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3516"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技术的转化与商用。</w:t>
            </w:r>
          </w:p>
        </w:tc>
        <w:tc>
          <w:tcPr>
            <w:tcW w:w="1687" w:type="dxa"/>
            <w:tcBorders>
              <w:top w:val="nil" w:sz="6" w:space="0" w:color="auto"/>
              <w:left w:val="single" w:sz="4" w:space="0" w:color="000000"/>
              <w:bottom w:val="single" w:sz="4" w:space="0" w:color="000000"/>
              <w:right w:val="single" w:sz="4" w:space="0" w:color="000000"/>
            </w:tcBorders>
          </w:tcPr>
          <w:p>
            <w:pPr/>
          </w:p>
        </w:tc>
      </w:tr>
      <w:tr>
        <w:trPr>
          <w:trHeight w:val="289"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安信平台主要是保护企业网</w:t>
            </w:r>
          </w:p>
        </w:tc>
        <w:tc>
          <w:tcPr>
            <w:tcW w:w="3516"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tcPr>
          <w:p>
            <w:pPr/>
          </w:p>
        </w:tc>
      </w:tr>
      <w:tr>
        <w:trPr>
          <w:trHeight w:val="700"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(7)</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96"/>
              <w:jc w:val="left"/>
              <w:rPr>
                <w:rFonts w:ascii="宋体" w:hAnsi="宋体" w:cs="宋体" w:eastAsia="宋体" w:hint="default"/>
                <w:sz w:val="18"/>
                <w:szCs w:val="18"/>
              </w:rPr>
            </w:pPr>
            <w:r>
              <w:rPr>
                <w:rFonts w:ascii="宋体" w:hAnsi="宋体" w:cs="宋体" w:eastAsia="宋体" w:hint="default"/>
                <w:sz w:val="18"/>
                <w:szCs w:val="18"/>
              </w:rPr>
              <w:t>漫</w:t>
            </w:r>
            <w:r>
              <w:rPr>
                <w:rFonts w:ascii="宋体" w:hAnsi="宋体" w:cs="宋体" w:eastAsia="宋体" w:hint="default"/>
                <w:spacing w:val="-54"/>
                <w:sz w:val="18"/>
                <w:szCs w:val="18"/>
              </w:rPr>
              <w:t> </w:t>
            </w:r>
            <w:r>
              <w:rPr>
                <w:rFonts w:ascii="宋体" w:hAnsi="宋体" w:cs="宋体" w:eastAsia="宋体" w:hint="default"/>
                <w:sz w:val="18"/>
                <w:szCs w:val="18"/>
              </w:rPr>
              <w:t>道</w:t>
            </w:r>
            <w:r>
              <w:rPr>
                <w:rFonts w:ascii="宋体" w:hAnsi="宋体" w:cs="宋体" w:eastAsia="宋体" w:hint="default"/>
                <w:spacing w:val="-54"/>
                <w:sz w:val="18"/>
                <w:szCs w:val="18"/>
              </w:rPr>
              <w:t> </w:t>
            </w:r>
            <w:r>
              <w:rPr>
                <w:rFonts w:ascii="宋体" w:hAnsi="宋体" w:cs="宋体" w:eastAsia="宋体" w:hint="default"/>
                <w:sz w:val="18"/>
                <w:szCs w:val="18"/>
              </w:rPr>
              <w:t>科</w:t>
            </w:r>
            <w:r>
              <w:rPr>
                <w:rFonts w:ascii="宋体" w:hAnsi="宋体" w:cs="宋体" w:eastAsia="宋体" w:hint="default"/>
                <w:spacing w:val="-57"/>
                <w:sz w:val="18"/>
                <w:szCs w:val="18"/>
              </w:rPr>
              <w:t> </w:t>
            </w:r>
            <w:r>
              <w:rPr>
                <w:rFonts w:ascii="宋体" w:hAnsi="宋体" w:cs="宋体" w:eastAsia="宋体" w:hint="default"/>
                <w:sz w:val="18"/>
                <w:szCs w:val="18"/>
              </w:rPr>
              <w:t>技</w:t>
            </w:r>
            <w:r>
              <w:rPr>
                <w:rFonts w:ascii="宋体" w:hAnsi="宋体" w:cs="宋体" w:eastAsia="宋体" w:hint="default"/>
                <w:spacing w:val="-54"/>
                <w:sz w:val="18"/>
                <w:szCs w:val="18"/>
              </w:rPr>
              <w:t> </w:t>
            </w:r>
            <w:r>
              <w:rPr>
                <w:rFonts w:ascii="宋体" w:hAnsi="宋体" w:cs="宋体" w:eastAsia="宋体" w:hint="default"/>
                <w:sz w:val="18"/>
                <w:szCs w:val="18"/>
              </w:rPr>
              <w:t>安</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z w:val="18"/>
                <w:szCs w:val="18"/>
              </w:rPr>
              <w:t> 平台</w:t>
            </w:r>
            <w:r>
              <w:rPr>
                <w:rFonts w:ascii="宋体" w:hAnsi="宋体" w:cs="宋体" w:eastAsia="宋体" w:hint="default"/>
                <w:spacing w:val="-44"/>
                <w:sz w:val="18"/>
                <w:szCs w:val="18"/>
              </w:rPr>
              <w:t> </w:t>
            </w:r>
            <w:r>
              <w:rPr>
                <w:rFonts w:ascii="宋体" w:hAnsi="宋体" w:cs="宋体" w:eastAsia="宋体" w:hint="default"/>
                <w:sz w:val="18"/>
                <w:szCs w:val="18"/>
              </w:rPr>
              <w:t>v3.0</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络信息安全的整体平台，这</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个平台的最终目的就是保护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企业信息网络不受威胁、出</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已经发布了 3.0</w:t>
            </w:r>
            <w:r>
              <w:rPr>
                <w:rFonts w:ascii="宋体" w:hAnsi="宋体" w:cs="宋体" w:eastAsia="宋体" w:hint="default"/>
                <w:spacing w:val="-32"/>
                <w:sz w:val="18"/>
                <w:szCs w:val="18"/>
              </w:rPr>
              <w:t> </w:t>
            </w:r>
            <w:r>
              <w:rPr>
                <w:rFonts w:ascii="宋体" w:hAnsi="宋体" w:cs="宋体" w:eastAsia="宋体" w:hint="default"/>
                <w:sz w:val="18"/>
                <w:szCs w:val="18"/>
              </w:rPr>
              <w:t>版本，包括后期升级和新</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pacing w:val="2"/>
                <w:sz w:val="18"/>
                <w:szCs w:val="18"/>
              </w:rPr>
              <w:t>功能开发。报告期取得国家版权局软件著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作权，版权号：2018SR025826。</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产品已开始出售，</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3"/>
                <w:sz w:val="18"/>
                <w:szCs w:val="18"/>
              </w:rPr>
              <w:t>增加公司软件开发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及应用业务收入。</w:t>
            </w:r>
          </w:p>
        </w:tc>
      </w:tr>
      <w:tr>
        <w:trPr>
          <w:trHeight w:val="290"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现危险和发生事故。</w:t>
            </w:r>
          </w:p>
        </w:tc>
        <w:tc>
          <w:tcPr>
            <w:tcW w:w="3516"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tcPr>
          <w:p>
            <w:pPr/>
          </w:p>
        </w:tc>
      </w:tr>
      <w:tr>
        <w:trPr>
          <w:trHeight w:val="869" w:hRule="exact"/>
        </w:trPr>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sz w:val="18"/>
              </w:rPr>
              <w:t>(8)</w:t>
            </w: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54"/>
                <w:sz w:val="18"/>
                <w:szCs w:val="18"/>
              </w:rPr>
              <w:t> </w:t>
            </w:r>
            <w:r>
              <w:rPr>
                <w:rFonts w:ascii="宋体" w:hAnsi="宋体" w:cs="宋体" w:eastAsia="宋体" w:hint="default"/>
                <w:sz w:val="18"/>
                <w:szCs w:val="18"/>
              </w:rPr>
              <w:t>行</w:t>
            </w:r>
            <w:r>
              <w:rPr>
                <w:rFonts w:ascii="宋体" w:hAnsi="宋体" w:cs="宋体" w:eastAsia="宋体" w:hint="default"/>
                <w:spacing w:val="-54"/>
                <w:sz w:val="18"/>
                <w:szCs w:val="18"/>
              </w:rPr>
              <w:t> </w:t>
            </w:r>
            <w:r>
              <w:rPr>
                <w:rFonts w:ascii="宋体" w:hAnsi="宋体" w:cs="宋体" w:eastAsia="宋体" w:hint="default"/>
                <w:sz w:val="18"/>
                <w:szCs w:val="18"/>
              </w:rPr>
              <w:t>短</w:t>
            </w:r>
            <w:r>
              <w:rPr>
                <w:rFonts w:ascii="宋体" w:hAnsi="宋体" w:cs="宋体" w:eastAsia="宋体" w:hint="default"/>
                <w:spacing w:val="-57"/>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通</w:t>
            </w:r>
            <w:r>
              <w:rPr>
                <w:rFonts w:ascii="宋体" w:hAnsi="宋体" w:cs="宋体" w:eastAsia="宋体" w:hint="default"/>
                <w:spacing w:val="-54"/>
                <w:sz w:val="18"/>
                <w:szCs w:val="18"/>
              </w:rPr>
              <w:t> </w:t>
            </w:r>
            <w:r>
              <w:rPr>
                <w:rFonts w:ascii="宋体" w:hAnsi="宋体" w:cs="宋体" w:eastAsia="宋体" w:hint="default"/>
                <w:sz w:val="18"/>
                <w:szCs w:val="18"/>
              </w:rPr>
              <w:t>知</w:t>
            </w:r>
            <w:r>
              <w:rPr>
                <w:rFonts w:ascii="宋体" w:hAnsi="宋体" w:cs="宋体" w:eastAsia="宋体" w:hint="default"/>
                <w:sz w:val="18"/>
                <w:szCs w:val="18"/>
              </w:rPr>
              <w:t> 管理系统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111"/>
              <w:ind w:left="103" w:right="98"/>
              <w:jc w:val="both"/>
              <w:rPr>
                <w:rFonts w:ascii="宋体" w:hAnsi="宋体" w:cs="宋体" w:eastAsia="宋体" w:hint="default"/>
                <w:sz w:val="18"/>
                <w:szCs w:val="18"/>
              </w:rPr>
            </w:pPr>
            <w:r>
              <w:rPr>
                <w:rFonts w:ascii="宋体" w:hAnsi="宋体" w:cs="宋体" w:eastAsia="宋体" w:hint="default"/>
                <w:sz w:val="18"/>
                <w:szCs w:val="18"/>
              </w:rPr>
              <w:t>结合移动智能终端方便外访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催收，满足银行对贷后过程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监管的要求。</w:t>
            </w:r>
          </w:p>
        </w:tc>
        <w:tc>
          <w:tcPr>
            <w:tcW w:w="35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2"/>
                <w:sz w:val="18"/>
                <w:szCs w:val="18"/>
              </w:rPr>
              <w:t>仍在研发中，主要目标是满足银行对贷后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过程监管的要求。</w:t>
            </w: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pacing w:val="3"/>
                <w:sz w:val="18"/>
                <w:szCs w:val="18"/>
              </w:rPr>
              <w:t>产品已开始出售，</w:t>
            </w:r>
          </w:p>
        </w:tc>
      </w:tr>
      <w:tr>
        <w:trPr>
          <w:trHeight w:val="118"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3516" w:type="dxa"/>
            <w:tcBorders>
              <w:top w:val="nil" w:sz="6" w:space="0" w:color="auto"/>
              <w:left w:val="single" w:sz="4" w:space="0" w:color="000000"/>
              <w:bottom w:val="single" w:sz="4" w:space="0" w:color="000000"/>
              <w:right w:val="single" w:sz="4" w:space="0" w:color="000000"/>
            </w:tcBorders>
          </w:tcPr>
          <w:p>
            <w:pPr/>
          </w:p>
        </w:tc>
        <w:tc>
          <w:tcPr>
            <w:tcW w:w="1687" w:type="dxa"/>
            <w:vMerge w:val="restart"/>
            <w:tcBorders>
              <w:top w:val="nil" w:sz="6" w:space="0" w:color="auto"/>
              <w:left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增加公司短信业务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r>
      <w:tr>
        <w:trPr>
          <w:trHeight w:val="98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sz w:val="18"/>
              </w:rPr>
              <w:t>(9)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3"/>
              <w:ind w:left="103" w:right="96"/>
              <w:jc w:val="both"/>
              <w:rPr>
                <w:rFonts w:ascii="宋体" w:hAnsi="宋体" w:cs="宋体" w:eastAsia="宋体" w:hint="default"/>
                <w:sz w:val="18"/>
                <w:szCs w:val="18"/>
              </w:rPr>
            </w:pPr>
            <w:r>
              <w:rPr>
                <w:rFonts w:ascii="宋体" w:hAnsi="宋体" w:cs="宋体" w:eastAsia="宋体" w:hint="default"/>
                <w:sz w:val="18"/>
                <w:szCs w:val="18"/>
              </w:rPr>
              <w:t>漫</w:t>
            </w:r>
            <w:r>
              <w:rPr>
                <w:rFonts w:ascii="宋体" w:hAnsi="宋体" w:cs="宋体" w:eastAsia="宋体" w:hint="default"/>
                <w:spacing w:val="-54"/>
                <w:sz w:val="18"/>
                <w:szCs w:val="18"/>
              </w:rPr>
              <w:t> </w:t>
            </w:r>
            <w:r>
              <w:rPr>
                <w:rFonts w:ascii="宋体" w:hAnsi="宋体" w:cs="宋体" w:eastAsia="宋体" w:hint="default"/>
                <w:sz w:val="18"/>
                <w:szCs w:val="18"/>
              </w:rPr>
              <w:t>道</w:t>
            </w:r>
            <w:r>
              <w:rPr>
                <w:rFonts w:ascii="宋体" w:hAnsi="宋体" w:cs="宋体" w:eastAsia="宋体" w:hint="default"/>
                <w:spacing w:val="-54"/>
                <w:sz w:val="18"/>
                <w:szCs w:val="18"/>
              </w:rPr>
              <w:t> </w:t>
            </w:r>
            <w:r>
              <w:rPr>
                <w:rFonts w:ascii="宋体" w:hAnsi="宋体" w:cs="宋体" w:eastAsia="宋体" w:hint="default"/>
                <w:sz w:val="18"/>
                <w:szCs w:val="18"/>
              </w:rPr>
              <w:t>科</w:t>
            </w:r>
            <w:r>
              <w:rPr>
                <w:rFonts w:ascii="宋体" w:hAnsi="宋体" w:cs="宋体" w:eastAsia="宋体" w:hint="default"/>
                <w:spacing w:val="-57"/>
                <w:sz w:val="18"/>
                <w:szCs w:val="18"/>
              </w:rPr>
              <w:t> </w:t>
            </w:r>
            <w:r>
              <w:rPr>
                <w:rFonts w:ascii="宋体" w:hAnsi="宋体" w:cs="宋体" w:eastAsia="宋体" w:hint="default"/>
                <w:sz w:val="18"/>
                <w:szCs w:val="18"/>
              </w:rPr>
              <w:t>技</w:t>
            </w:r>
            <w:r>
              <w:rPr>
                <w:rFonts w:ascii="宋体" w:hAnsi="宋体" w:cs="宋体" w:eastAsia="宋体" w:hint="default"/>
                <w:spacing w:val="-54"/>
                <w:sz w:val="18"/>
                <w:szCs w:val="18"/>
              </w:rPr>
              <w:t> </w:t>
            </w:r>
            <w:r>
              <w:rPr>
                <w:rFonts w:ascii="宋体" w:hAnsi="宋体" w:cs="宋体" w:eastAsia="宋体" w:hint="default"/>
                <w:sz w:val="18"/>
                <w:szCs w:val="18"/>
              </w:rPr>
              <w:t>短</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z w:val="18"/>
                <w:szCs w:val="18"/>
              </w:rPr>
              <w:t> 关</w:t>
            </w:r>
            <w:r>
              <w:rPr>
                <w:rFonts w:ascii="宋体" w:hAnsi="宋体" w:cs="宋体" w:eastAsia="宋体" w:hint="default"/>
                <w:spacing w:val="-54"/>
                <w:sz w:val="18"/>
                <w:szCs w:val="18"/>
              </w:rPr>
              <w:t> </w:t>
            </w:r>
            <w:r>
              <w:rPr>
                <w:rFonts w:ascii="宋体" w:hAnsi="宋体" w:cs="宋体" w:eastAsia="宋体" w:hint="default"/>
                <w:sz w:val="18"/>
                <w:szCs w:val="18"/>
              </w:rPr>
              <w:t>键</w:t>
            </w:r>
            <w:r>
              <w:rPr>
                <w:rFonts w:ascii="宋体" w:hAnsi="宋体" w:cs="宋体" w:eastAsia="宋体" w:hint="default"/>
                <w:spacing w:val="-54"/>
                <w:sz w:val="18"/>
                <w:szCs w:val="18"/>
              </w:rPr>
              <w:t> </w:t>
            </w:r>
            <w:r>
              <w:rPr>
                <w:rFonts w:ascii="宋体" w:hAnsi="宋体" w:cs="宋体" w:eastAsia="宋体" w:hint="default"/>
                <w:sz w:val="18"/>
                <w:szCs w:val="18"/>
              </w:rPr>
              <w:t>字</w:t>
            </w:r>
            <w:r>
              <w:rPr>
                <w:rFonts w:ascii="宋体" w:hAnsi="宋体" w:cs="宋体" w:eastAsia="宋体" w:hint="default"/>
                <w:spacing w:val="-57"/>
                <w:sz w:val="18"/>
                <w:szCs w:val="18"/>
              </w:rPr>
              <w:t> </w:t>
            </w:r>
            <w:r>
              <w:rPr>
                <w:rFonts w:ascii="宋体" w:hAnsi="宋体" w:cs="宋体" w:eastAsia="宋体" w:hint="default"/>
                <w:sz w:val="18"/>
                <w:szCs w:val="18"/>
              </w:rPr>
              <w:t>过</w:t>
            </w:r>
            <w:r>
              <w:rPr>
                <w:rFonts w:ascii="宋体" w:hAnsi="宋体" w:cs="宋体" w:eastAsia="宋体" w:hint="default"/>
                <w:spacing w:val="-54"/>
                <w:sz w:val="18"/>
                <w:szCs w:val="18"/>
              </w:rPr>
              <w:t> </w:t>
            </w:r>
            <w:r>
              <w:rPr>
                <w:rFonts w:ascii="宋体" w:hAnsi="宋体" w:cs="宋体" w:eastAsia="宋体" w:hint="default"/>
                <w:sz w:val="18"/>
                <w:szCs w:val="18"/>
              </w:rPr>
              <w:t>滤</w:t>
            </w:r>
            <w:r>
              <w:rPr>
                <w:rFonts w:ascii="宋体" w:hAnsi="宋体" w:cs="宋体" w:eastAsia="宋体" w:hint="default"/>
                <w:spacing w:val="-54"/>
                <w:sz w:val="18"/>
                <w:szCs w:val="18"/>
              </w:rPr>
              <w:t> </w:t>
            </w:r>
            <w:r>
              <w:rPr>
                <w:rFonts w:ascii="宋体" w:hAnsi="宋体" w:cs="宋体" w:eastAsia="宋体" w:hint="default"/>
                <w:sz w:val="18"/>
                <w:szCs w:val="18"/>
              </w:rPr>
              <w:t>系</w:t>
            </w:r>
            <w:r>
              <w:rPr>
                <w:rFonts w:ascii="宋体" w:hAnsi="宋体" w:cs="宋体" w:eastAsia="宋体" w:hint="default"/>
                <w:sz w:val="18"/>
                <w:szCs w:val="18"/>
              </w:rPr>
              <w:t> 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遵循各移动运营商相关的协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议，技术上实现对各单位发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送短信内容的严格控制，杜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绝违法、色情等垃圾短信。</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3"/>
              <w:ind w:left="103" w:right="103"/>
              <w:jc w:val="both"/>
              <w:rPr>
                <w:rFonts w:ascii="宋体" w:hAnsi="宋体" w:cs="宋体" w:eastAsia="宋体" w:hint="default"/>
                <w:sz w:val="18"/>
                <w:szCs w:val="18"/>
              </w:rPr>
            </w:pPr>
            <w:r>
              <w:rPr>
                <w:rFonts w:ascii="宋体" w:hAnsi="宋体" w:cs="宋体" w:eastAsia="宋体" w:hint="default"/>
                <w:spacing w:val="2"/>
                <w:sz w:val="18"/>
                <w:szCs w:val="18"/>
              </w:rPr>
              <w:t>已研发完成，使得过滤关键字功能更加完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善，降低通道投诉率，客户使用时更加放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心。</w:t>
            </w:r>
          </w:p>
        </w:tc>
        <w:tc>
          <w:tcPr>
            <w:tcW w:w="1687" w:type="dxa"/>
            <w:vMerge/>
            <w:tcBorders>
              <w:left w:val="single" w:sz="4" w:space="0" w:color="000000"/>
              <w:bottom w:val="single" w:sz="4" w:space="0" w:color="000000"/>
              <w:right w:val="single" w:sz="4" w:space="0" w:color="000000"/>
            </w:tcBorders>
          </w:tcPr>
          <w:p>
            <w:pPr/>
          </w:p>
        </w:tc>
      </w:tr>
      <w:tr>
        <w:trPr>
          <w:trHeight w:val="296"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
        </w:tc>
        <w:tc>
          <w:tcPr>
            <w:tcW w:w="3516"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3"/>
                <w:sz w:val="18"/>
                <w:szCs w:val="18"/>
              </w:rPr>
              <w:t>提升业务发展竞争</w:t>
            </w:r>
          </w:p>
        </w:tc>
      </w:tr>
      <w:tr>
        <w:trPr>
          <w:trHeight w:val="233" w:hRule="exact"/>
        </w:trPr>
        <w:tc>
          <w:tcPr>
            <w:tcW w:w="576"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4"/>
                <w:sz w:val="18"/>
                <w:szCs w:val="18"/>
              </w:rPr>
              <w:t> </w:t>
            </w:r>
            <w:r>
              <w:rPr>
                <w:rFonts w:ascii="宋体" w:hAnsi="宋体" w:cs="宋体" w:eastAsia="宋体" w:hint="default"/>
                <w:sz w:val="18"/>
                <w:szCs w:val="18"/>
              </w:rPr>
              <w:t>人</w:t>
            </w:r>
            <w:r>
              <w:rPr>
                <w:rFonts w:ascii="宋体" w:hAnsi="宋体" w:cs="宋体" w:eastAsia="宋体" w:hint="default"/>
                <w:spacing w:val="-54"/>
                <w:sz w:val="18"/>
                <w:szCs w:val="18"/>
              </w:rPr>
              <w:t> </w:t>
            </w:r>
            <w:r>
              <w:rPr>
                <w:rFonts w:ascii="宋体" w:hAnsi="宋体" w:cs="宋体" w:eastAsia="宋体" w:hint="default"/>
                <w:sz w:val="18"/>
                <w:szCs w:val="18"/>
              </w:rPr>
              <w:t>机</w:t>
            </w:r>
            <w:r>
              <w:rPr>
                <w:rFonts w:ascii="宋体" w:hAnsi="宋体" w:cs="宋体" w:eastAsia="宋体" w:hint="default"/>
                <w:spacing w:val="-57"/>
                <w:sz w:val="18"/>
                <w:szCs w:val="18"/>
              </w:rPr>
              <w:t> </w:t>
            </w:r>
            <w:r>
              <w:rPr>
                <w:rFonts w:ascii="宋体" w:hAnsi="宋体" w:cs="宋体" w:eastAsia="宋体" w:hint="default"/>
                <w:sz w:val="18"/>
                <w:szCs w:val="18"/>
              </w:rPr>
              <w:t>应</w:t>
            </w:r>
            <w:r>
              <w:rPr>
                <w:rFonts w:ascii="宋体" w:hAnsi="宋体" w:cs="宋体" w:eastAsia="宋体" w:hint="default"/>
                <w:spacing w:val="-54"/>
                <w:sz w:val="18"/>
                <w:szCs w:val="18"/>
              </w:rPr>
              <w:t> </w:t>
            </w:r>
            <w:r>
              <w:rPr>
                <w:rFonts w:ascii="宋体" w:hAnsi="宋体" w:cs="宋体" w:eastAsia="宋体" w:hint="default"/>
                <w:sz w:val="18"/>
                <w:szCs w:val="18"/>
              </w:rPr>
              <w:t>用</w:t>
            </w:r>
            <w:r>
              <w:rPr>
                <w:rFonts w:ascii="宋体" w:hAnsi="宋体" w:cs="宋体" w:eastAsia="宋体" w:hint="default"/>
                <w:spacing w:val="-54"/>
                <w:sz w:val="18"/>
                <w:szCs w:val="18"/>
              </w:rPr>
              <w:t> </w:t>
            </w:r>
            <w:r>
              <w:rPr>
                <w:rFonts w:ascii="宋体" w:hAnsi="宋体" w:cs="宋体" w:eastAsia="宋体" w:hint="default"/>
                <w:sz w:val="18"/>
                <w:szCs w:val="18"/>
              </w:rPr>
              <w:t>于</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在高山、偏远、高危或人力</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项目已完成，已完成无人机样机开发，在</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力，在人力难以及</w:t>
            </w:r>
          </w:p>
        </w:tc>
      </w:tr>
      <w:tr>
        <w:trPr>
          <w:trHeight w:val="235"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(10)</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网</w:t>
            </w:r>
            <w:r>
              <w:rPr>
                <w:rFonts w:ascii="宋体" w:hAnsi="宋体" w:cs="宋体" w:eastAsia="宋体" w:hint="default"/>
                <w:spacing w:val="-57"/>
                <w:sz w:val="18"/>
                <w:szCs w:val="18"/>
              </w:rPr>
              <w:t> </w:t>
            </w:r>
            <w:r>
              <w:rPr>
                <w:rFonts w:ascii="宋体" w:hAnsi="宋体" w:cs="宋体" w:eastAsia="宋体" w:hint="default"/>
                <w:sz w:val="18"/>
                <w:szCs w:val="18"/>
              </w:rPr>
              <w:t>络</w:t>
            </w:r>
            <w:r>
              <w:rPr>
                <w:rFonts w:ascii="宋体" w:hAnsi="宋体" w:cs="宋体" w:eastAsia="宋体" w:hint="default"/>
                <w:spacing w:val="-54"/>
                <w:sz w:val="18"/>
                <w:szCs w:val="18"/>
              </w:rPr>
              <w:t> </w:t>
            </w:r>
            <w:r>
              <w:rPr>
                <w:rFonts w:ascii="宋体" w:hAnsi="宋体" w:cs="宋体" w:eastAsia="宋体" w:hint="default"/>
                <w:sz w:val="18"/>
                <w:szCs w:val="18"/>
              </w:rPr>
              <w:t>维</w:t>
            </w:r>
            <w:r>
              <w:rPr>
                <w:rFonts w:ascii="宋体" w:hAnsi="宋体" w:cs="宋体" w:eastAsia="宋体" w:hint="default"/>
                <w:spacing w:val="-54"/>
                <w:sz w:val="18"/>
                <w:szCs w:val="18"/>
              </w:rPr>
              <w:t> </w:t>
            </w:r>
            <w:r>
              <w:rPr>
                <w:rFonts w:ascii="宋体" w:hAnsi="宋体" w:cs="宋体" w:eastAsia="宋体" w:hint="default"/>
                <w:sz w:val="18"/>
                <w:szCs w:val="18"/>
              </w:rPr>
              <w:t>护</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难以及时到达区域保持快速</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通信网络技术服务中试用，续航时间约</w:t>
            </w:r>
            <w:r>
              <w:rPr>
                <w:rFonts w:ascii="宋体" w:hAnsi="宋体" w:cs="宋体" w:eastAsia="宋体" w:hint="default"/>
                <w:spacing w:val="-29"/>
                <w:sz w:val="18"/>
                <w:szCs w:val="18"/>
              </w:rPr>
              <w:t> </w:t>
            </w:r>
            <w:r>
              <w:rPr>
                <w:rFonts w:ascii="宋体" w:hAnsi="宋体" w:cs="宋体" w:eastAsia="宋体" w:hint="default"/>
                <w:sz w:val="18"/>
                <w:szCs w:val="18"/>
              </w:rPr>
              <w:t>40</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时到达的区域，提</w:t>
            </w:r>
          </w:p>
        </w:tc>
      </w:tr>
      <w:tr>
        <w:trPr>
          <w:trHeight w:val="233" w:hRule="exact"/>
        </w:trPr>
        <w:tc>
          <w:tcPr>
            <w:tcW w:w="576" w:type="dxa"/>
            <w:tcBorders>
              <w:top w:val="nil" w:sz="6" w:space="0" w:color="auto"/>
              <w:left w:val="single" w:sz="4" w:space="0" w:color="000000"/>
              <w:bottom w:val="nil" w:sz="6" w:space="0" w:color="auto"/>
              <w:right w:val="single" w:sz="4" w:space="0" w:color="000000"/>
            </w:tcBorders>
          </w:tcPr>
          <w:p>
            <w:pP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维护能力。</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分钟。</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高对报警、故障的</w:t>
            </w:r>
          </w:p>
        </w:tc>
      </w:tr>
      <w:tr>
        <w:trPr>
          <w:trHeight w:val="301"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
        </w:tc>
        <w:tc>
          <w:tcPr>
            <w:tcW w:w="3516"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反应效力。</w:t>
            </w:r>
          </w:p>
        </w:tc>
      </w:tr>
      <w:tr>
        <w:trPr>
          <w:trHeight w:val="94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96"/>
              <w:jc w:val="both"/>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网</w:t>
            </w:r>
            <w:r>
              <w:rPr>
                <w:rFonts w:ascii="宋体" w:hAnsi="宋体" w:cs="宋体" w:eastAsia="宋体" w:hint="default"/>
                <w:spacing w:val="-57"/>
                <w:sz w:val="18"/>
                <w:szCs w:val="18"/>
              </w:rPr>
              <w:t> </w:t>
            </w:r>
            <w:r>
              <w:rPr>
                <w:rFonts w:ascii="宋体" w:hAnsi="宋体" w:cs="宋体" w:eastAsia="宋体" w:hint="default"/>
                <w:sz w:val="18"/>
                <w:szCs w:val="18"/>
              </w:rPr>
              <w:t>络</w:t>
            </w:r>
            <w:r>
              <w:rPr>
                <w:rFonts w:ascii="宋体" w:hAnsi="宋体" w:cs="宋体" w:eastAsia="宋体" w:hint="default"/>
                <w:spacing w:val="-55"/>
                <w:sz w:val="18"/>
                <w:szCs w:val="18"/>
              </w:rPr>
              <w:t> </w:t>
            </w:r>
            <w:r>
              <w:rPr>
                <w:rFonts w:ascii="宋体" w:hAnsi="宋体" w:cs="宋体" w:eastAsia="宋体" w:hint="default"/>
                <w:sz w:val="18"/>
                <w:szCs w:val="18"/>
              </w:rPr>
              <w:t>代</w:t>
            </w:r>
            <w:r>
              <w:rPr>
                <w:rFonts w:ascii="宋体" w:hAnsi="宋体" w:cs="宋体" w:eastAsia="宋体" w:hint="default"/>
                <w:spacing w:val="-54"/>
                <w:sz w:val="18"/>
                <w:szCs w:val="18"/>
              </w:rPr>
              <w:t> </w:t>
            </w:r>
            <w:r>
              <w:rPr>
                <w:rFonts w:ascii="宋体" w:hAnsi="宋体" w:cs="宋体" w:eastAsia="宋体" w:hint="default"/>
                <w:sz w:val="18"/>
                <w:szCs w:val="18"/>
              </w:rPr>
              <w:t>维</w:t>
            </w:r>
            <w:r>
              <w:rPr>
                <w:rFonts w:ascii="宋体" w:hAnsi="宋体" w:cs="宋体" w:eastAsia="宋体" w:hint="default"/>
                <w:sz w:val="18"/>
                <w:szCs w:val="18"/>
              </w:rPr>
              <w:t> 公</w:t>
            </w:r>
            <w:r>
              <w:rPr>
                <w:rFonts w:ascii="宋体" w:hAnsi="宋体" w:cs="宋体" w:eastAsia="宋体" w:hint="default"/>
                <w:spacing w:val="-54"/>
                <w:sz w:val="18"/>
                <w:szCs w:val="18"/>
              </w:rPr>
              <w:t> </w:t>
            </w:r>
            <w:r>
              <w:rPr>
                <w:rFonts w:ascii="宋体" w:hAnsi="宋体" w:cs="宋体" w:eastAsia="宋体" w:hint="default"/>
                <w:sz w:val="18"/>
                <w:szCs w:val="18"/>
              </w:rPr>
              <w:t>共</w:t>
            </w:r>
            <w:r>
              <w:rPr>
                <w:rFonts w:ascii="宋体" w:hAnsi="宋体" w:cs="宋体" w:eastAsia="宋体" w:hint="default"/>
                <w:spacing w:val="-54"/>
                <w:sz w:val="18"/>
                <w:szCs w:val="18"/>
              </w:rPr>
              <w:t> </w:t>
            </w:r>
            <w:r>
              <w:rPr>
                <w:rFonts w:ascii="宋体" w:hAnsi="宋体" w:cs="宋体" w:eastAsia="宋体" w:hint="default"/>
                <w:sz w:val="18"/>
                <w:szCs w:val="18"/>
              </w:rPr>
              <w:t>服</w:t>
            </w:r>
            <w:r>
              <w:rPr>
                <w:rFonts w:ascii="宋体" w:hAnsi="宋体" w:cs="宋体" w:eastAsia="宋体" w:hint="default"/>
                <w:spacing w:val="-57"/>
                <w:sz w:val="18"/>
                <w:szCs w:val="18"/>
              </w:rPr>
              <w:t> </w:t>
            </w:r>
            <w:r>
              <w:rPr>
                <w:rFonts w:ascii="宋体" w:hAnsi="宋体" w:cs="宋体" w:eastAsia="宋体" w:hint="default"/>
                <w:sz w:val="18"/>
                <w:szCs w:val="18"/>
              </w:rPr>
              <w:t>务</w:t>
            </w:r>
            <w:r>
              <w:rPr>
                <w:rFonts w:ascii="宋体" w:hAnsi="宋体" w:cs="宋体" w:eastAsia="宋体" w:hint="default"/>
                <w:spacing w:val="-55"/>
                <w:sz w:val="18"/>
                <w:szCs w:val="18"/>
              </w:rPr>
              <w:t> </w:t>
            </w:r>
            <w:r>
              <w:rPr>
                <w:rFonts w:ascii="宋体" w:hAnsi="宋体" w:cs="宋体" w:eastAsia="宋体" w:hint="default"/>
                <w:sz w:val="18"/>
                <w:szCs w:val="18"/>
              </w:rPr>
              <w:t>平</w:t>
            </w:r>
            <w:r>
              <w:rPr>
                <w:rFonts w:ascii="宋体" w:hAnsi="宋体" w:cs="宋体" w:eastAsia="宋体" w:hint="default"/>
                <w:spacing w:val="-54"/>
                <w:sz w:val="18"/>
                <w:szCs w:val="18"/>
              </w:rPr>
              <w:t> </w:t>
            </w:r>
            <w:r>
              <w:rPr>
                <w:rFonts w:ascii="宋体" w:hAnsi="宋体" w:cs="宋体" w:eastAsia="宋体" w:hint="default"/>
                <w:sz w:val="18"/>
                <w:szCs w:val="18"/>
              </w:rPr>
              <w:t>台</w:t>
            </w:r>
            <w:r>
              <w:rPr>
                <w:rFonts w:ascii="宋体" w:hAnsi="宋体" w:cs="宋体" w:eastAsia="宋体" w:hint="default"/>
                <w:sz w:val="18"/>
                <w:szCs w:val="18"/>
              </w:rPr>
              <w:t> 研发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以工单碎片化的方式分散工</w:t>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sz w:val="18"/>
                <w:szCs w:val="18"/>
              </w:rPr>
              <w:t>单，分配给零散技术个体。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减低用工成本，提高企业效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2"/>
                <w:sz w:val="18"/>
                <w:szCs w:val="18"/>
              </w:rPr>
              <w:t>研发中，通过平台合理利用社会上零散的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技术个体资源，同时保证通信维护质量。</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提高工作效率、服</w:t>
            </w:r>
          </w:p>
          <w:p>
            <w:pPr>
              <w:pStyle w:val="TableParagraph"/>
              <w:spacing w:line="232" w:lineRule="exact" w:before="23"/>
              <w:ind w:left="103" w:right="9"/>
              <w:jc w:val="left"/>
              <w:rPr>
                <w:rFonts w:ascii="宋体" w:hAnsi="宋体" w:cs="宋体" w:eastAsia="宋体" w:hint="default"/>
                <w:sz w:val="18"/>
                <w:szCs w:val="18"/>
              </w:rPr>
            </w:pPr>
            <w:r>
              <w:rPr>
                <w:rFonts w:ascii="宋体" w:hAnsi="宋体" w:cs="宋体" w:eastAsia="宋体" w:hint="default"/>
                <w:spacing w:val="-7"/>
                <w:sz w:val="18"/>
                <w:szCs w:val="18"/>
              </w:rPr>
              <w:t>务质量、降低成本，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进行行业模式的改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造试点。</w:t>
            </w:r>
          </w:p>
        </w:tc>
      </w:tr>
    </w:tbl>
    <w:p>
      <w:pPr>
        <w:spacing w:after="0" w:line="232" w:lineRule="exact"/>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76"/>
        <w:gridCol w:w="1469"/>
        <w:gridCol w:w="2390"/>
        <w:gridCol w:w="3516"/>
        <w:gridCol w:w="1687"/>
      </w:tblGrid>
      <w:tr>
        <w:trPr>
          <w:trHeight w:val="94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(12)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54"/>
                <w:sz w:val="18"/>
                <w:szCs w:val="18"/>
              </w:rPr>
              <w:t> </w:t>
            </w:r>
            <w:r>
              <w:rPr>
                <w:rFonts w:ascii="宋体" w:hAnsi="宋体" w:cs="宋体" w:eastAsia="宋体" w:hint="default"/>
                <w:sz w:val="18"/>
                <w:szCs w:val="18"/>
              </w:rPr>
              <w:t>数</w:t>
            </w:r>
            <w:r>
              <w:rPr>
                <w:rFonts w:ascii="宋体" w:hAnsi="宋体" w:cs="宋体" w:eastAsia="宋体" w:hint="default"/>
                <w:spacing w:val="-54"/>
                <w:sz w:val="18"/>
                <w:szCs w:val="18"/>
              </w:rPr>
              <w:t> </w:t>
            </w:r>
            <w:r>
              <w:rPr>
                <w:rFonts w:ascii="宋体" w:hAnsi="宋体" w:cs="宋体" w:eastAsia="宋体" w:hint="default"/>
                <w:sz w:val="18"/>
                <w:szCs w:val="18"/>
              </w:rPr>
              <w:t>据</w:t>
            </w:r>
            <w:r>
              <w:rPr>
                <w:rFonts w:ascii="宋体" w:hAnsi="宋体" w:cs="宋体" w:eastAsia="宋体" w:hint="default"/>
                <w:spacing w:val="-57"/>
                <w:sz w:val="18"/>
                <w:szCs w:val="18"/>
              </w:rPr>
              <w:t> </w:t>
            </w:r>
            <w:r>
              <w:rPr>
                <w:rFonts w:ascii="宋体" w:hAnsi="宋体" w:cs="宋体" w:eastAsia="宋体" w:hint="default"/>
                <w:sz w:val="18"/>
                <w:szCs w:val="18"/>
              </w:rPr>
              <w:t>开</w:t>
            </w:r>
            <w:r>
              <w:rPr>
                <w:rFonts w:ascii="宋体" w:hAnsi="宋体" w:cs="宋体" w:eastAsia="宋体" w:hint="default"/>
                <w:spacing w:val="-54"/>
                <w:sz w:val="18"/>
                <w:szCs w:val="18"/>
              </w:rPr>
              <w:t> </w:t>
            </w:r>
            <w:r>
              <w:rPr>
                <w:rFonts w:ascii="宋体" w:hAnsi="宋体" w:cs="宋体" w:eastAsia="宋体" w:hint="default"/>
                <w:sz w:val="18"/>
                <w:szCs w:val="18"/>
              </w:rPr>
              <w:t>发</w:t>
            </w:r>
            <w:r>
              <w:rPr>
                <w:rFonts w:ascii="宋体" w:hAnsi="宋体" w:cs="宋体" w:eastAsia="宋体" w:hint="default"/>
                <w:spacing w:val="-54"/>
                <w:sz w:val="18"/>
                <w:szCs w:val="18"/>
              </w:rPr>
              <w:t> </w:t>
            </w:r>
            <w:r>
              <w:rPr>
                <w:rFonts w:ascii="宋体" w:hAnsi="宋体" w:cs="宋体" w:eastAsia="宋体" w:hint="default"/>
                <w:sz w:val="18"/>
                <w:szCs w:val="18"/>
              </w:rPr>
              <w:t>及</w:t>
            </w:r>
            <w:r>
              <w:rPr>
                <w:rFonts w:ascii="宋体" w:hAnsi="宋体" w:cs="宋体" w:eastAsia="宋体" w:hint="default"/>
                <w:sz w:val="18"/>
                <w:szCs w:val="18"/>
              </w:rPr>
              <w:t> 应用的研发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为企业内部的大数据应用构</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z w:val="18"/>
                <w:szCs w:val="18"/>
              </w:rPr>
              <w:t>建平台，为企业精细化管理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提供数据支撑,进而延伸至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行业应用。</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3"/>
              <w:jc w:val="both"/>
              <w:rPr>
                <w:rFonts w:ascii="宋体" w:hAnsi="宋体" w:cs="宋体" w:eastAsia="宋体" w:hint="default"/>
                <w:sz w:val="18"/>
                <w:szCs w:val="18"/>
              </w:rPr>
            </w:pPr>
            <w:r>
              <w:rPr>
                <w:rFonts w:ascii="宋体" w:hAnsi="宋体" w:cs="宋体" w:eastAsia="宋体" w:hint="default"/>
                <w:spacing w:val="2"/>
                <w:sz w:val="18"/>
                <w:szCs w:val="18"/>
              </w:rPr>
              <w:t>项目已完成，大数据平台的使用，为企业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管理精细化以及企业主体业务通信网络维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护业务提供数据支持。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pacing w:val="3"/>
                <w:sz w:val="18"/>
                <w:szCs w:val="18"/>
              </w:rPr>
              <w:t>为企业精细化管理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提供数据支撑。</w:t>
            </w:r>
          </w:p>
        </w:tc>
      </w:tr>
      <w:tr>
        <w:trPr>
          <w:trHeight w:val="237" w:hRule="exact"/>
        </w:trPr>
        <w:tc>
          <w:tcPr>
            <w:tcW w:w="576" w:type="dxa"/>
            <w:tcBorders>
              <w:top w:val="single" w:sz="4" w:space="0" w:color="000000"/>
              <w:left w:val="single" w:sz="4" w:space="0" w:color="000000"/>
              <w:bottom w:val="nil" w:sz="6" w:space="0" w:color="auto"/>
              <w:right w:val="single" w:sz="4" w:space="0" w:color="000000"/>
            </w:tcBorders>
          </w:tcPr>
          <w:p>
            <w:pPr/>
          </w:p>
        </w:tc>
        <w:tc>
          <w:tcPr>
            <w:tcW w:w="1469"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38"/>
                <w:sz w:val="18"/>
                <w:szCs w:val="18"/>
              </w:rPr>
              <w:t> </w:t>
            </w:r>
            <w:r>
              <w:rPr>
                <w:rFonts w:ascii="宋体" w:hAnsi="宋体" w:cs="宋体" w:eastAsia="宋体" w:hint="default"/>
                <w:sz w:val="18"/>
                <w:szCs w:val="18"/>
              </w:rPr>
              <w:t>1+1</w:t>
            </w:r>
            <w:r>
              <w:rPr>
                <w:rFonts w:ascii="宋体" w:hAnsi="宋体" w:cs="宋体" w:eastAsia="宋体" w:hint="default"/>
                <w:spacing w:val="-38"/>
                <w:sz w:val="18"/>
                <w:szCs w:val="18"/>
              </w:rPr>
              <w:t> </w:t>
            </w:r>
            <w:r>
              <w:rPr>
                <w:rFonts w:ascii="宋体" w:hAnsi="宋体" w:cs="宋体" w:eastAsia="宋体" w:hint="default"/>
                <w:sz w:val="18"/>
                <w:szCs w:val="18"/>
              </w:rPr>
              <w:t>的保护转换方式，</w:t>
            </w:r>
          </w:p>
        </w:tc>
        <w:tc>
          <w:tcPr>
            <w:tcW w:w="3516" w:type="dxa"/>
            <w:tcBorders>
              <w:top w:val="single" w:sz="4" w:space="0" w:color="000000"/>
              <w:left w:val="single" w:sz="4" w:space="0" w:color="000000"/>
              <w:bottom w:val="nil" w:sz="6" w:space="0" w:color="auto"/>
              <w:right w:val="single" w:sz="4" w:space="0" w:color="000000"/>
            </w:tcBorders>
          </w:tcPr>
          <w:p>
            <w:pPr/>
          </w:p>
        </w:tc>
        <w:tc>
          <w:tcPr>
            <w:tcW w:w="1687"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(13)</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96"/>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宋体" w:hAnsi="宋体" w:cs="宋体" w:eastAsia="宋体" w:hint="default"/>
                <w:sz w:val="18"/>
                <w:szCs w:val="18"/>
              </w:rPr>
              <w:t>SDH</w:t>
            </w:r>
            <w:r>
              <w:rPr>
                <w:rFonts w:ascii="宋体" w:hAnsi="宋体" w:cs="宋体" w:eastAsia="宋体" w:hint="default"/>
                <w:spacing w:val="-47"/>
                <w:sz w:val="18"/>
                <w:szCs w:val="18"/>
              </w:rPr>
              <w:t> </w:t>
            </w:r>
            <w:r>
              <w:rPr>
                <w:rFonts w:ascii="宋体" w:hAnsi="宋体" w:cs="宋体" w:eastAsia="宋体" w:hint="default"/>
                <w:sz w:val="18"/>
                <w:szCs w:val="18"/>
              </w:rPr>
              <w:t>的通信</w:t>
            </w:r>
            <w:r>
              <w:rPr>
                <w:rFonts w:ascii="宋体" w:hAnsi="宋体" w:cs="宋体" w:eastAsia="宋体" w:hint="default"/>
                <w:sz w:val="18"/>
                <w:szCs w:val="18"/>
              </w:rPr>
              <w:t> 光</w:t>
            </w:r>
            <w:r>
              <w:rPr>
                <w:rFonts w:ascii="宋体" w:hAnsi="宋体" w:cs="宋体" w:eastAsia="宋体" w:hint="default"/>
                <w:spacing w:val="-54"/>
                <w:sz w:val="18"/>
                <w:szCs w:val="18"/>
              </w:rPr>
              <w:t> </w:t>
            </w:r>
            <w:r>
              <w:rPr>
                <w:rFonts w:ascii="宋体" w:hAnsi="宋体" w:cs="宋体" w:eastAsia="宋体" w:hint="default"/>
                <w:sz w:val="18"/>
                <w:szCs w:val="18"/>
              </w:rPr>
              <w:t>缆</w:t>
            </w:r>
            <w:r>
              <w:rPr>
                <w:rFonts w:ascii="宋体" w:hAnsi="宋体" w:cs="宋体" w:eastAsia="宋体" w:hint="default"/>
                <w:spacing w:val="-54"/>
                <w:sz w:val="18"/>
                <w:szCs w:val="18"/>
              </w:rPr>
              <w:t> </w:t>
            </w:r>
            <w:r>
              <w:rPr>
                <w:rFonts w:ascii="宋体" w:hAnsi="宋体" w:cs="宋体" w:eastAsia="宋体" w:hint="default"/>
                <w:sz w:val="18"/>
                <w:szCs w:val="18"/>
              </w:rPr>
              <w:t>传</w:t>
            </w:r>
            <w:r>
              <w:rPr>
                <w:rFonts w:ascii="宋体" w:hAnsi="宋体" w:cs="宋体" w:eastAsia="宋体" w:hint="default"/>
                <w:spacing w:val="-57"/>
                <w:sz w:val="18"/>
                <w:szCs w:val="18"/>
              </w:rPr>
              <w:t> </w:t>
            </w:r>
            <w:r>
              <w:rPr>
                <w:rFonts w:ascii="宋体" w:hAnsi="宋体" w:cs="宋体" w:eastAsia="宋体" w:hint="default"/>
                <w:sz w:val="18"/>
                <w:szCs w:val="18"/>
              </w:rPr>
              <w:t>输</w:t>
            </w:r>
            <w:r>
              <w:rPr>
                <w:rFonts w:ascii="宋体" w:hAnsi="宋体" w:cs="宋体" w:eastAsia="宋体" w:hint="default"/>
                <w:spacing w:val="-54"/>
                <w:sz w:val="18"/>
                <w:szCs w:val="18"/>
              </w:rPr>
              <w:t> </w:t>
            </w:r>
            <w:r>
              <w:rPr>
                <w:rFonts w:ascii="宋体" w:hAnsi="宋体" w:cs="宋体" w:eastAsia="宋体" w:hint="default"/>
                <w:sz w:val="18"/>
                <w:szCs w:val="18"/>
              </w:rPr>
              <w:t>保</w:t>
            </w:r>
            <w:r>
              <w:rPr>
                <w:rFonts w:ascii="宋体" w:hAnsi="宋体" w:cs="宋体" w:eastAsia="宋体" w:hint="default"/>
                <w:spacing w:val="-54"/>
                <w:sz w:val="18"/>
                <w:szCs w:val="18"/>
              </w:rPr>
              <w:t> </w:t>
            </w:r>
            <w:r>
              <w:rPr>
                <w:rFonts w:ascii="宋体" w:hAnsi="宋体" w:cs="宋体" w:eastAsia="宋体" w:hint="default"/>
                <w:sz w:val="18"/>
                <w:szCs w:val="18"/>
              </w:rPr>
              <w:t>护</w:t>
            </w:r>
            <w:r>
              <w:rPr>
                <w:rFonts w:ascii="宋体" w:hAnsi="宋体" w:cs="宋体" w:eastAsia="宋体" w:hint="default"/>
                <w:sz w:val="18"/>
                <w:szCs w:val="18"/>
              </w:rPr>
              <w:t> 系统的开发</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提高传输系统的可靠性与可</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用性。研究方向分为两个：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一是大型光缆的</w:t>
            </w:r>
            <w:r>
              <w:rPr>
                <w:rFonts w:ascii="宋体" w:hAnsi="宋体" w:cs="宋体" w:eastAsia="宋体" w:hint="default"/>
                <w:spacing w:val="-38"/>
                <w:sz w:val="18"/>
                <w:szCs w:val="18"/>
              </w:rPr>
              <w:t> </w:t>
            </w:r>
            <w:r>
              <w:rPr>
                <w:rFonts w:ascii="宋体" w:hAnsi="宋体" w:cs="宋体" w:eastAsia="宋体" w:hint="default"/>
                <w:sz w:val="18"/>
                <w:szCs w:val="18"/>
              </w:rPr>
              <w:t>SDH</w:t>
            </w:r>
            <w:r>
              <w:rPr>
                <w:rFonts w:ascii="宋体" w:hAnsi="宋体" w:cs="宋体" w:eastAsia="宋体" w:hint="default"/>
                <w:spacing w:val="-38"/>
                <w:sz w:val="18"/>
                <w:szCs w:val="18"/>
              </w:rPr>
              <w:t> </w:t>
            </w:r>
            <w:r>
              <w:rPr>
                <w:rFonts w:ascii="宋体" w:hAnsi="宋体" w:cs="宋体" w:eastAsia="宋体" w:hint="default"/>
                <w:sz w:val="18"/>
                <w:szCs w:val="18"/>
              </w:rPr>
              <w:t>保护系</w:t>
            </w:r>
            <w:r>
              <w:rPr>
                <w:rFonts w:ascii="宋体" w:hAnsi="宋体" w:cs="宋体" w:eastAsia="宋体" w:hint="default"/>
                <w:sz w:val="18"/>
                <w:szCs w:val="18"/>
              </w:rPr>
              <w:t> 统，二是低成本</w:t>
            </w:r>
            <w:r>
              <w:rPr>
                <w:rFonts w:ascii="宋体" w:hAnsi="宋体" w:cs="宋体" w:eastAsia="宋体" w:hint="default"/>
                <w:spacing w:val="-38"/>
                <w:sz w:val="18"/>
                <w:szCs w:val="18"/>
              </w:rPr>
              <w:t> </w:t>
            </w:r>
            <w:r>
              <w:rPr>
                <w:rFonts w:ascii="宋体" w:hAnsi="宋体" w:cs="宋体" w:eastAsia="宋体" w:hint="default"/>
                <w:sz w:val="18"/>
                <w:szCs w:val="18"/>
              </w:rPr>
              <w:t>SDH</w:t>
            </w:r>
            <w:r>
              <w:rPr>
                <w:rFonts w:ascii="宋体" w:hAnsi="宋体" w:cs="宋体" w:eastAsia="宋体" w:hint="default"/>
                <w:spacing w:val="-38"/>
                <w:sz w:val="18"/>
                <w:szCs w:val="18"/>
              </w:rPr>
              <w:t> </w:t>
            </w:r>
            <w:r>
              <w:rPr>
                <w:rFonts w:ascii="宋体" w:hAnsi="宋体" w:cs="宋体" w:eastAsia="宋体" w:hint="default"/>
                <w:sz w:val="18"/>
                <w:szCs w:val="18"/>
              </w:rPr>
              <w:t>光缆传</w:t>
            </w:r>
          </w:p>
        </w:tc>
        <w:tc>
          <w:tcPr>
            <w:tcW w:w="35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12"/>
              <w:jc w:val="left"/>
              <w:rPr>
                <w:rFonts w:ascii="宋体" w:hAnsi="宋体" w:cs="宋体" w:eastAsia="宋体" w:hint="default"/>
                <w:sz w:val="18"/>
                <w:szCs w:val="18"/>
              </w:rPr>
            </w:pPr>
            <w:r>
              <w:rPr>
                <w:rFonts w:ascii="宋体" w:hAnsi="宋体" w:cs="宋体" w:eastAsia="宋体" w:hint="default"/>
                <w:spacing w:val="2"/>
                <w:sz w:val="18"/>
                <w:szCs w:val="18"/>
              </w:rPr>
              <w:t>研发中，提高通信网络传输的稳定性，在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主干线中断时，仍可以满足用户通信体验。</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98"/>
              <w:jc w:val="both"/>
              <w:rPr>
                <w:rFonts w:ascii="宋体" w:hAnsi="宋体" w:cs="宋体" w:eastAsia="宋体" w:hint="default"/>
                <w:sz w:val="18"/>
                <w:szCs w:val="18"/>
              </w:rPr>
            </w:pPr>
            <w:r>
              <w:rPr>
                <w:rFonts w:ascii="宋体" w:hAnsi="宋体" w:cs="宋体" w:eastAsia="宋体" w:hint="default"/>
                <w:spacing w:val="3"/>
                <w:sz w:val="18"/>
                <w:szCs w:val="18"/>
              </w:rPr>
              <w:t>提高通信网络稳定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性。为抢修争取时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w:t>
            </w:r>
          </w:p>
        </w:tc>
      </w:tr>
      <w:tr>
        <w:trPr>
          <w:trHeight w:val="239" w:hRule="exact"/>
        </w:trPr>
        <w:tc>
          <w:tcPr>
            <w:tcW w:w="57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输保护系统。</w:t>
            </w:r>
          </w:p>
        </w:tc>
        <w:tc>
          <w:tcPr>
            <w:tcW w:w="3516"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2、研发投入情况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978"/>
        <w:gridCol w:w="2268"/>
        <w:gridCol w:w="2124"/>
        <w:gridCol w:w="2268"/>
      </w:tblGrid>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1,134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1,081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4.90%</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13.52%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18.03%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45"/>
                <w:sz w:val="18"/>
                <w:szCs w:val="18"/>
              </w:rPr>
              <w:t> </w:t>
            </w:r>
            <w:r>
              <w:rPr>
                <w:rFonts w:ascii="宋体" w:hAnsi="宋体" w:cs="宋体" w:eastAsia="宋体" w:hint="default"/>
                <w:sz w:val="18"/>
                <w:szCs w:val="18"/>
              </w:rPr>
              <w:t>4.51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80,223,811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83,544,133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-3.97%</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3.81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4.60%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45"/>
                <w:sz w:val="18"/>
                <w:szCs w:val="18"/>
              </w:rPr>
              <w:t> </w:t>
            </w:r>
            <w:r>
              <w:rPr>
                <w:rFonts w:ascii="宋体" w:hAnsi="宋体" w:cs="宋体" w:eastAsia="宋体" w:hint="default"/>
                <w:sz w:val="18"/>
                <w:szCs w:val="18"/>
              </w:rPr>
              <w:t>0.79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w:t>
            </w:r>
          </w:p>
        </w:tc>
      </w:tr>
    </w:tbl>
    <w:p>
      <w:pPr>
        <w:pStyle w:val="BodyText"/>
        <w:tabs>
          <w:tab w:pos="8056" w:val="left" w:leader="none"/>
        </w:tabs>
        <w:spacing w:line="544" w:lineRule="auto" w:before="50"/>
        <w:ind w:left="813" w:right="544"/>
        <w:jc w:val="left"/>
      </w:pPr>
      <w:r>
        <w:rPr/>
        <w:pict>
          <v:shape style="position:absolute;margin-left:59.279999pt;margin-top:51.368717pt;width:482.65pt;height:30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699"/>
                    <w:gridCol w:w="1702"/>
                    <w:gridCol w:w="994"/>
                    <w:gridCol w:w="3684"/>
                  </w:tblGrid>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变动的主要原因说明</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经营活动现金流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1,987,689,618.42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1,908,856,834.61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0"/>
                            <w:sz w:val="18"/>
                            <w:szCs w:val="18"/>
                          </w:rPr>
                          <w:t> </w:t>
                        </w:r>
                        <w:r>
                          <w:rPr>
                            <w:rFonts w:ascii="宋体" w:hAnsi="宋体" w:cs="宋体" w:eastAsia="宋体" w:hint="default"/>
                            <w:sz w:val="18"/>
                            <w:szCs w:val="18"/>
                          </w:rPr>
                          <w:t>7,883.28</w:t>
                        </w:r>
                        <w:r>
                          <w:rPr>
                            <w:rFonts w:ascii="宋体" w:hAnsi="宋体" w:cs="宋体" w:eastAsia="宋体" w:hint="default"/>
                            <w:spacing w:val="-39"/>
                            <w:sz w:val="18"/>
                            <w:szCs w:val="18"/>
                          </w:rPr>
                          <w:t> </w:t>
                        </w:r>
                        <w:r>
                          <w:rPr>
                            <w:rFonts w:ascii="宋体" w:hAnsi="宋体" w:cs="宋体" w:eastAsia="宋体" w:hint="default"/>
                            <w:spacing w:val="-5"/>
                            <w:sz w:val="18"/>
                            <w:szCs w:val="18"/>
                          </w:rPr>
                          <w:t>万元，主要是营业收入增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left"/>
                          <w:rPr>
                            <w:rFonts w:ascii="宋体" w:hAnsi="宋体" w:cs="宋体" w:eastAsia="宋体" w:hint="default"/>
                            <w:sz w:val="18"/>
                            <w:szCs w:val="18"/>
                          </w:rPr>
                        </w:pPr>
                        <w:r>
                          <w:rPr>
                            <w:rFonts w:ascii="宋体" w:hAnsi="宋体" w:cs="宋体" w:eastAsia="宋体" w:hint="default"/>
                            <w:spacing w:val="12"/>
                            <w:sz w:val="18"/>
                            <w:szCs w:val="18"/>
                          </w:rPr>
                          <w:t>经营活动现金流</w:t>
                        </w:r>
                        <w:r>
                          <w:rPr>
                            <w:rFonts w:ascii="宋体" w:hAnsi="宋体" w:cs="宋体" w:eastAsia="宋体" w:hint="default"/>
                            <w:sz w:val="18"/>
                            <w:szCs w:val="18"/>
                          </w:rPr>
                          <w:t> 出小计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1,944,526,295.10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1,760,407,721.74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10.46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同比增加 18,411.86</w:t>
                        </w:r>
                        <w:r>
                          <w:rPr>
                            <w:rFonts w:ascii="宋体" w:hAnsi="宋体" w:cs="宋体" w:eastAsia="宋体" w:hint="default"/>
                            <w:spacing w:val="-44"/>
                            <w:sz w:val="18"/>
                            <w:szCs w:val="18"/>
                          </w:rPr>
                          <w:t> </w:t>
                        </w:r>
                        <w:r>
                          <w:rPr>
                            <w:rFonts w:ascii="宋体" w:hAnsi="宋体" w:cs="宋体" w:eastAsia="宋体" w:hint="default"/>
                            <w:sz w:val="18"/>
                            <w:szCs w:val="18"/>
                          </w:rPr>
                          <w:t>万元，主要是长实通信</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劳务采购、直接人工、原材料等成本支出同</w:t>
                        </w:r>
                        <w:r>
                          <w:rPr>
                            <w:rFonts w:ascii="宋体" w:hAnsi="宋体" w:cs="宋体" w:eastAsia="宋体" w:hint="default"/>
                            <w:sz w:val="18"/>
                            <w:szCs w:val="18"/>
                          </w:rPr>
                          <w:t> 比增加</w:t>
                        </w:r>
                        <w:r>
                          <w:rPr>
                            <w:rFonts w:ascii="宋体" w:hAnsi="宋体" w:cs="宋体" w:eastAsia="宋体" w:hint="default"/>
                            <w:spacing w:val="-45"/>
                            <w:sz w:val="18"/>
                            <w:szCs w:val="18"/>
                          </w:rPr>
                          <w:t> </w:t>
                        </w:r>
                        <w:r>
                          <w:rPr>
                            <w:rFonts w:ascii="宋体" w:hAnsi="宋体" w:cs="宋体" w:eastAsia="宋体" w:hint="default"/>
                            <w:sz w:val="18"/>
                            <w:szCs w:val="18"/>
                          </w:rPr>
                          <w:t>16,292.47</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left"/>
                          <w:rPr>
                            <w:rFonts w:ascii="宋体" w:hAnsi="宋体" w:cs="宋体" w:eastAsia="宋体" w:hint="default"/>
                            <w:sz w:val="18"/>
                            <w:szCs w:val="18"/>
                          </w:rPr>
                        </w:pPr>
                        <w:r>
                          <w:rPr>
                            <w:rFonts w:ascii="宋体" w:hAnsi="宋体" w:cs="宋体" w:eastAsia="宋体" w:hint="default"/>
                            <w:spacing w:val="12"/>
                            <w:sz w:val="18"/>
                            <w:szCs w:val="18"/>
                          </w:rPr>
                          <w:t>经营活动产生的</w:t>
                        </w:r>
                        <w:r>
                          <w:rPr>
                            <w:rFonts w:ascii="宋体" w:hAnsi="宋体" w:cs="宋体" w:eastAsia="宋体" w:hint="default"/>
                            <w:sz w:val="18"/>
                            <w:szCs w:val="18"/>
                          </w:rPr>
                          <w:t> 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43,163,323.32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148,449,112.87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-70.92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净额同比减少 10,528.58</w:t>
                        </w:r>
                        <w:r>
                          <w:rPr>
                            <w:rFonts w:ascii="宋体" w:hAnsi="宋体" w:cs="宋体" w:eastAsia="宋体" w:hint="default"/>
                            <w:spacing w:val="-44"/>
                            <w:sz w:val="18"/>
                            <w:szCs w:val="18"/>
                          </w:rPr>
                          <w:t> </w:t>
                        </w:r>
                        <w:r>
                          <w:rPr>
                            <w:rFonts w:ascii="宋体" w:hAnsi="宋体" w:cs="宋体" w:eastAsia="宋体" w:hint="default"/>
                            <w:sz w:val="18"/>
                            <w:szCs w:val="18"/>
                          </w:rPr>
                          <w:t>万元，主要是营业</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收入同比增加流入的现金额小于成本支出同</w:t>
                        </w:r>
                        <w:r>
                          <w:rPr>
                            <w:rFonts w:ascii="宋体" w:hAnsi="宋体" w:cs="宋体" w:eastAsia="宋体" w:hint="default"/>
                            <w:sz w:val="18"/>
                            <w:szCs w:val="18"/>
                          </w:rPr>
                          <w:t> 比增加流出的现金额。</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left"/>
                          <w:rPr>
                            <w:rFonts w:ascii="宋体" w:hAnsi="宋体" w:cs="宋体" w:eastAsia="宋体" w:hint="default"/>
                            <w:sz w:val="18"/>
                            <w:szCs w:val="18"/>
                          </w:rPr>
                        </w:pPr>
                        <w:r>
                          <w:rPr>
                            <w:rFonts w:ascii="宋体" w:hAnsi="宋体" w:cs="宋体" w:eastAsia="宋体" w:hint="default"/>
                            <w:spacing w:val="12"/>
                            <w:sz w:val="18"/>
                            <w:szCs w:val="18"/>
                          </w:rPr>
                          <w:t>投资活动现金流</w:t>
                        </w:r>
                        <w:r>
                          <w:rPr>
                            <w:rFonts w:ascii="宋体" w:hAnsi="宋体" w:cs="宋体" w:eastAsia="宋体" w:hint="default"/>
                            <w:sz w:val="18"/>
                            <w:szCs w:val="18"/>
                          </w:rPr>
                          <w:t> 入小计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66,145,780.81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757,553,931.11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-91.27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同比减少 69,140.82</w:t>
                        </w:r>
                        <w:r>
                          <w:rPr>
                            <w:rFonts w:ascii="宋体" w:hAnsi="宋体" w:cs="宋体" w:eastAsia="宋体" w:hint="default"/>
                            <w:spacing w:val="-43"/>
                            <w:sz w:val="18"/>
                            <w:szCs w:val="18"/>
                          </w:rPr>
                          <w:t> </w:t>
                        </w:r>
                        <w:r>
                          <w:rPr>
                            <w:rFonts w:ascii="宋体" w:hAnsi="宋体" w:cs="宋体" w:eastAsia="宋体" w:hint="default"/>
                            <w:sz w:val="18"/>
                            <w:szCs w:val="18"/>
                          </w:rPr>
                          <w:t>万元，主要是上年收到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22"/>
                            <w:sz w:val="18"/>
                            <w:szCs w:val="18"/>
                          </w:rPr>
                          <w:t> </w:t>
                        </w:r>
                        <w:r>
                          <w:rPr>
                            <w:rFonts w:ascii="宋体" w:hAnsi="宋体" w:cs="宋体" w:eastAsia="宋体" w:hint="default"/>
                            <w:spacing w:val="7"/>
                            <w:sz w:val="18"/>
                            <w:szCs w:val="18"/>
                          </w:rPr>
                          <w:t>年重大资产出售茂业控股第三期价款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70,293.78</w:t>
                        </w:r>
                        <w:r>
                          <w:rPr>
                            <w:rFonts w:ascii="宋体" w:hAnsi="宋体" w:cs="宋体" w:eastAsia="宋体" w:hint="default"/>
                            <w:spacing w:val="-48"/>
                            <w:sz w:val="18"/>
                            <w:szCs w:val="18"/>
                          </w:rPr>
                          <w:t> </w:t>
                        </w:r>
                        <w:r>
                          <w:rPr>
                            <w:rFonts w:ascii="宋体" w:hAnsi="宋体" w:cs="宋体" w:eastAsia="宋体" w:hint="default"/>
                            <w:sz w:val="18"/>
                            <w:szCs w:val="18"/>
                          </w:rPr>
                          <w:t>万元。本期无此项。</w:t>
                        </w: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投资活动现金流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出小计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z w:val="18"/>
                          </w:rPr>
                          <w:t>79,567,335.52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179,903,834.25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-55.77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同比减少 10,033.65</w:t>
                        </w:r>
                        <w:r>
                          <w:rPr>
                            <w:rFonts w:ascii="宋体" w:hAnsi="宋体" w:cs="宋体" w:eastAsia="宋体" w:hint="default"/>
                            <w:spacing w:val="-43"/>
                            <w:sz w:val="18"/>
                            <w:szCs w:val="18"/>
                          </w:rPr>
                          <w:t> </w:t>
                        </w:r>
                        <w:r>
                          <w:rPr>
                            <w:rFonts w:ascii="宋体" w:hAnsi="宋体" w:cs="宋体" w:eastAsia="宋体" w:hint="default"/>
                            <w:sz w:val="18"/>
                            <w:szCs w:val="18"/>
                          </w:rPr>
                          <w:t>万元，主要是购买的理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财产品减少。</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投资活动产生的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-13,421,554.71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577,650,096.86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-102.32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同比减少 59,107.17</w:t>
                        </w:r>
                        <w:r>
                          <w:rPr>
                            <w:rFonts w:ascii="宋体" w:hAnsi="宋体" w:cs="宋体" w:eastAsia="宋体" w:hint="default"/>
                            <w:spacing w:val="-43"/>
                            <w:sz w:val="18"/>
                            <w:szCs w:val="18"/>
                          </w:rPr>
                          <w:t> </w:t>
                        </w:r>
                        <w:r>
                          <w:rPr>
                            <w:rFonts w:ascii="宋体" w:hAnsi="宋体" w:cs="宋体" w:eastAsia="宋体" w:hint="default"/>
                            <w:sz w:val="18"/>
                            <w:szCs w:val="18"/>
                          </w:rPr>
                          <w:t>万元，是因投资活动流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入减少较流出减少的更多。</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筹资活动现金流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入小计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46,000,000.00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75,000,000.00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-38.67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 w:right="0"/>
                          <w:jc w:val="center"/>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宋体" w:hAnsi="宋体" w:cs="宋体" w:eastAsia="宋体" w:hint="default"/>
                            <w:sz w:val="18"/>
                            <w:szCs w:val="18"/>
                          </w:rPr>
                          <w:t>2,900.00</w:t>
                        </w:r>
                        <w:r>
                          <w:rPr>
                            <w:rFonts w:ascii="宋体" w:hAnsi="宋体" w:cs="宋体" w:eastAsia="宋体" w:hint="default"/>
                            <w:spacing w:val="-45"/>
                            <w:sz w:val="18"/>
                            <w:szCs w:val="18"/>
                          </w:rPr>
                          <w:t> </w:t>
                        </w:r>
                        <w:r>
                          <w:rPr>
                            <w:rFonts w:ascii="宋体" w:hAnsi="宋体" w:cs="宋体" w:eastAsia="宋体" w:hint="default"/>
                            <w:sz w:val="18"/>
                            <w:szCs w:val="18"/>
                          </w:rPr>
                          <w:t>万元是因公司贷款减少。</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3"/>
                          <w:jc w:val="left"/>
                          <w:rPr>
                            <w:rFonts w:ascii="宋体" w:hAnsi="宋体" w:cs="宋体" w:eastAsia="宋体" w:hint="default"/>
                            <w:sz w:val="18"/>
                            <w:szCs w:val="18"/>
                          </w:rPr>
                        </w:pPr>
                        <w:r>
                          <w:rPr>
                            <w:rFonts w:ascii="宋体" w:hAnsi="宋体" w:cs="宋体" w:eastAsia="宋体" w:hint="default"/>
                            <w:spacing w:val="12"/>
                            <w:sz w:val="18"/>
                            <w:szCs w:val="18"/>
                          </w:rPr>
                          <w:t>筹资活动现金流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出小计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68,898,617.18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688,031,134.61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-89.99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同比减少 61,913.25</w:t>
                        </w:r>
                        <w:r>
                          <w:rPr>
                            <w:rFonts w:ascii="宋体" w:hAnsi="宋体" w:cs="宋体" w:eastAsia="宋体" w:hint="default"/>
                            <w:spacing w:val="-43"/>
                            <w:sz w:val="18"/>
                            <w:szCs w:val="18"/>
                          </w:rPr>
                          <w:t> </w:t>
                        </w:r>
                        <w:r>
                          <w:rPr>
                            <w:rFonts w:ascii="宋体" w:hAnsi="宋体" w:cs="宋体" w:eastAsia="宋体" w:hint="default"/>
                            <w:sz w:val="18"/>
                            <w:szCs w:val="18"/>
                          </w:rPr>
                          <w:t>万元，主要是上年归还</w:t>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20"/>
                            <w:sz w:val="18"/>
                            <w:szCs w:val="18"/>
                          </w:rPr>
                          <w:t> </w:t>
                        </w:r>
                        <w:r>
                          <w:rPr>
                            <w:rFonts w:ascii="宋体" w:hAnsi="宋体" w:cs="宋体" w:eastAsia="宋体" w:hint="default"/>
                            <w:spacing w:val="7"/>
                            <w:sz w:val="18"/>
                            <w:szCs w:val="18"/>
                          </w:rPr>
                          <w:t>年重大资产购买长实通信的贷款和利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息。本期无此项。</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筹资活动产生的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-22,898,617.18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z w:val="18"/>
                          </w:rPr>
                          <w:t>-613,031,134.61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96.26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同比增加 59,013.25</w:t>
                        </w:r>
                        <w:r>
                          <w:rPr>
                            <w:rFonts w:ascii="宋体" w:hAnsi="宋体" w:cs="宋体" w:eastAsia="宋体" w:hint="default"/>
                            <w:spacing w:val="-35"/>
                            <w:sz w:val="18"/>
                            <w:szCs w:val="18"/>
                          </w:rPr>
                          <w:t> </w:t>
                        </w:r>
                        <w:r>
                          <w:rPr>
                            <w:rFonts w:ascii="宋体" w:hAnsi="宋体" w:cs="宋体" w:eastAsia="宋体" w:hint="default"/>
                            <w:sz w:val="18"/>
                            <w:szCs w:val="18"/>
                          </w:rPr>
                          <w:t>万元，是因筹资活动现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金流出减少较流入减少的更多。</w:t>
                        </w: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现金及现金等价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物净增加额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pacing w:val="-1"/>
                            <w:sz w:val="18"/>
                          </w:rPr>
                          <w:t>6,843,151.43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113,068,075.12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-93.95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同比减少 10,622.49</w:t>
                        </w:r>
                        <w:r>
                          <w:rPr>
                            <w:rFonts w:ascii="宋体" w:hAnsi="宋体" w:cs="宋体" w:eastAsia="宋体" w:hint="default"/>
                            <w:spacing w:val="-44"/>
                            <w:sz w:val="18"/>
                            <w:szCs w:val="18"/>
                          </w:rPr>
                          <w:t> </w:t>
                        </w:r>
                        <w:r>
                          <w:rPr>
                            <w:rFonts w:ascii="宋体" w:hAnsi="宋体" w:cs="宋体" w:eastAsia="宋体" w:hint="default"/>
                            <w:sz w:val="18"/>
                            <w:szCs w:val="18"/>
                          </w:rPr>
                          <w:t>万元是上述因素综合影</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响</w:t>
                        </w:r>
                      </w:p>
                    </w:tc>
                  </w:tr>
                </w:tbl>
                <w:p>
                  <w:pPr/>
                </w:p>
              </w:txbxContent>
            </v:textbox>
            <w10:wrap type="none"/>
          </v:shape>
        </w:pict>
      </w:r>
      <w:r>
        <w:rPr/>
        <w:t>因本期研发投入略有减少、营收上升，研发投入总额占营业收入的比重较上年略有下降。</w:t>
      </w:r>
      <w:r>
        <w:rPr>
          <w:w w:val="100"/>
        </w:rPr>
        <w:t> </w:t>
      </w:r>
      <w:r>
        <w:rPr/>
        <w:t>(五)</w:t>
      </w:r>
      <w:r>
        <w:rPr>
          <w:spacing w:val="4"/>
        </w:rPr>
        <w:t> </w:t>
      </w:r>
      <w:r>
        <w:rPr>
          <w:spacing w:val="-1"/>
        </w:rPr>
        <w:t>现金流</w:t>
        <w:tab/>
        <w:t>金额单位：元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73" w:lineRule="auto" w:before="36"/>
        <w:ind w:left="813" w:right="443"/>
        <w:jc w:val="left"/>
      </w:pPr>
      <w:r>
        <w:rPr/>
        <w:t>报告期内公司经营活动产生的现金净流量与本年度净利润存在重大差异的原因说明</w:t>
      </w:r>
      <w:r>
        <w:rPr>
          <w:w w:val="100"/>
        </w:rPr>
        <w:t> </w:t>
      </w:r>
      <w:r>
        <w:rPr/>
        <w:t>本期经营活动产生的现金净流量与本年度净利润的差额为 18,541.79</w:t>
      </w:r>
      <w:r>
        <w:rPr>
          <w:spacing w:val="84"/>
        </w:rPr>
        <w:t> </w:t>
      </w:r>
      <w:r>
        <w:rPr/>
        <w:t>万元(净利润-现金净流</w:t>
      </w:r>
    </w:p>
    <w:p>
      <w:pPr>
        <w:pStyle w:val="BodyText"/>
        <w:spacing w:line="273" w:lineRule="auto"/>
        <w:ind w:left="393" w:right="444"/>
        <w:jc w:val="left"/>
      </w:pPr>
      <w:r>
        <w:rPr/>
        <w:t>量)，主要为本年净利润组成项中收入确认包含了应收账款增加的 20,061.93</w:t>
      </w:r>
      <w:r>
        <w:rPr>
          <w:spacing w:val="-22"/>
        </w:rPr>
        <w:t> </w:t>
      </w:r>
      <w:r>
        <w:rPr/>
        <w:t>万元，而按照收付实</w:t>
      </w:r>
      <w:r>
        <w:rPr>
          <w:w w:val="100"/>
        </w:rPr>
        <w:t> </w:t>
      </w:r>
      <w:r>
        <w:rPr>
          <w:spacing w:val="-2"/>
        </w:rPr>
        <w:t>现制本部分本期没收到现金导致。公司主业通信网络维护客户铁塔公司业务上升且结算期延长、信</w:t>
      </w:r>
    </w:p>
    <w:p>
      <w:pPr>
        <w:spacing w:after="0" w:line="273" w:lineRule="auto"/>
        <w:jc w:val="left"/>
        <w:sectPr>
          <w:footerReference w:type="default" r:id="rId25"/>
          <w:pgSz w:w="11910" w:h="16840"/>
          <w:pgMar w:footer="1000" w:header="884" w:top="1140" w:bottom="1200" w:left="1080" w:right="960"/>
        </w:sectPr>
      </w:pPr>
    </w:p>
    <w:p>
      <w:pPr>
        <w:pStyle w:val="BodyText"/>
        <w:spacing w:line="544" w:lineRule="auto" w:before="131"/>
        <w:ind w:left="813" w:right="1174" w:hanging="421"/>
        <w:jc w:val="left"/>
      </w:pPr>
      <w:r>
        <w:rPr/>
        <w:pict>
          <v:shape style="position:absolute;margin-left:59.279999pt;margin-top:55.536812pt;width:482.65pt;height:88.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558"/>
                    <w:gridCol w:w="994"/>
                    <w:gridCol w:w="4394"/>
                    <w:gridCol w:w="991"/>
                  </w:tblGrid>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占利润总</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是否具有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可持续性</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2,706,174.30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1.03%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购买银行理财产品利息收入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16,324,983.48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6.23%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计提应收款项的坏账准备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w w:val="95"/>
                            <w:sz w:val="18"/>
                          </w:rPr>
                          <w:t>7,808,972.55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2.98%</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税务局返还手续费和政府补助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w w:val="95"/>
                            <w:sz w:val="18"/>
                          </w:rPr>
                          <w:t>5,678,881.85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2.17%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捐赠支出及其他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spacing w:val="-2"/>
        </w:rPr>
        <w:t>息传输采取后付费方式的金融客户业务上升，使得公司应收账款同比增加。</w:t>
      </w:r>
      <w:r>
        <w:rPr>
          <w:spacing w:val="-43"/>
        </w:rPr>
        <w:t> </w:t>
      </w:r>
      <w:r>
        <w:rPr>
          <w:spacing w:val="-43"/>
        </w:rPr>
      </w:r>
      <w:r>
        <w:rPr/>
        <w:t>二、非主营业务分析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73" w:lineRule="auto" w:before="36"/>
        <w:ind w:left="393" w:right="445" w:firstLine="420"/>
        <w:jc w:val="left"/>
      </w:pPr>
      <w:r>
        <w:rPr/>
        <w:t>注：1、资产减值损失</w:t>
      </w:r>
      <w:r>
        <w:rPr>
          <w:spacing w:val="-58"/>
        </w:rPr>
        <w:t> </w:t>
      </w:r>
      <w:r>
        <w:rPr/>
        <w:t>16,324,983.48</w:t>
      </w:r>
      <w:r>
        <w:rPr>
          <w:spacing w:val="-57"/>
        </w:rPr>
        <w:t> </w:t>
      </w:r>
      <w:r>
        <w:rPr/>
        <w:t>元，其中按会计政策正常计提</w:t>
      </w:r>
      <w:r>
        <w:rPr>
          <w:spacing w:val="-57"/>
        </w:rPr>
        <w:t> </w:t>
      </w:r>
      <w:r>
        <w:rPr/>
        <w:t>14，043,672.84</w:t>
      </w:r>
      <w:r>
        <w:rPr>
          <w:spacing w:val="-57"/>
        </w:rPr>
        <w:t> </w:t>
      </w:r>
      <w:r>
        <w:rPr>
          <w:spacing w:val="-3"/>
        </w:rPr>
        <w:t>元，专项</w:t>
      </w:r>
      <w:r>
        <w:rPr>
          <w:w w:val="100"/>
        </w:rPr>
        <w:t> </w:t>
      </w:r>
      <w:r>
        <w:rPr/>
        <w:t>计提应收账款坏账准备 2,281,310.64</w:t>
      </w:r>
      <w:r>
        <w:rPr>
          <w:spacing w:val="-23"/>
        </w:rPr>
        <w:t> </w:t>
      </w:r>
      <w:r>
        <w:rPr/>
        <w:t>元，有关计提应收账款坏账准备情况可查阅于本年报同日刊</w:t>
      </w:r>
    </w:p>
    <w:p>
      <w:pPr>
        <w:pStyle w:val="BodyText"/>
        <w:spacing w:line="273" w:lineRule="auto" w:before="8"/>
        <w:ind w:left="393" w:right="445"/>
        <w:jc w:val="left"/>
      </w:pPr>
      <w:r>
        <w:rPr/>
        <w:t>载在《中国证券报》、《证券时报》及巨潮资讯网上的《公司第七届董事会 2018</w:t>
      </w:r>
      <w:r>
        <w:rPr>
          <w:spacing w:val="-23"/>
        </w:rPr>
        <w:t> </w:t>
      </w:r>
      <w:r>
        <w:rPr/>
        <w:t>年第六次会议决</w:t>
      </w:r>
      <w:r>
        <w:rPr>
          <w:w w:val="100"/>
        </w:rPr>
        <w:t> </w:t>
      </w:r>
      <w:r>
        <w:rPr/>
        <w:t>议公告》的相关内容。</w:t>
      </w:r>
    </w:p>
    <w:p>
      <w:pPr>
        <w:pStyle w:val="BodyText"/>
        <w:spacing w:line="240" w:lineRule="auto" w:before="101"/>
        <w:ind w:left="813" w:right="342"/>
        <w:jc w:val="left"/>
      </w:pPr>
      <w:r>
        <w:rPr/>
        <w:t>2、税务局返还手续费和政府补助主要是子公司长实通信报告期收到昆明经开区生产扶持资金</w:t>
      </w:r>
    </w:p>
    <w:p>
      <w:pPr>
        <w:pStyle w:val="BodyText"/>
        <w:spacing w:line="240" w:lineRule="auto" w:before="35"/>
        <w:ind w:left="393" w:right="1174"/>
        <w:jc w:val="left"/>
      </w:pPr>
      <w:r>
        <w:rPr/>
        <w:t>122.64</w:t>
      </w:r>
      <w:r>
        <w:rPr>
          <w:spacing w:val="-54"/>
        </w:rPr>
        <w:t> </w:t>
      </w:r>
      <w:r>
        <w:rPr/>
        <w:t>万元，清远市</w:t>
      </w:r>
      <w:r>
        <w:rPr>
          <w:spacing w:val="-54"/>
        </w:rPr>
        <w:t> </w:t>
      </w:r>
      <w:r>
        <w:rPr/>
        <w:t>2016</w:t>
      </w:r>
      <w:r>
        <w:rPr>
          <w:spacing w:val="-54"/>
        </w:rPr>
        <w:t> </w:t>
      </w:r>
      <w:r>
        <w:rPr/>
        <w:t>年度总部企业奖励</w:t>
      </w:r>
      <w:r>
        <w:rPr>
          <w:spacing w:val="-56"/>
        </w:rPr>
        <w:t> </w:t>
      </w:r>
      <w:r>
        <w:rPr/>
        <w:t>509.61</w:t>
      </w:r>
      <w:r>
        <w:rPr>
          <w:spacing w:val="-54"/>
        </w:rPr>
        <w:t> </w:t>
      </w:r>
      <w:r>
        <w:rPr/>
        <w:t>万元。</w:t>
      </w:r>
    </w:p>
    <w:p>
      <w:pPr>
        <w:spacing w:line="240" w:lineRule="auto" w:before="9"/>
        <w:rPr>
          <w:rFonts w:ascii="宋体" w:hAnsi="宋体" w:cs="宋体" w:eastAsia="宋体" w:hint="default"/>
          <w:sz w:val="26"/>
          <w:szCs w:val="26"/>
        </w:rPr>
      </w:pPr>
    </w:p>
    <w:p>
      <w:pPr>
        <w:pStyle w:val="BodyText"/>
        <w:spacing w:line="240" w:lineRule="auto" w:before="0"/>
        <w:ind w:left="813" w:right="1174"/>
        <w:jc w:val="left"/>
      </w:pPr>
      <w:r>
        <w:rPr/>
        <w:t>三、资产及负债情况</w:t>
      </w:r>
    </w:p>
    <w:p>
      <w:pPr>
        <w:pStyle w:val="BodyText"/>
        <w:spacing w:line="240" w:lineRule="auto" w:before="37"/>
        <w:ind w:left="813" w:right="1174"/>
        <w:jc w:val="left"/>
      </w:pPr>
      <w:r>
        <w:rPr/>
        <w:t>(一)</w:t>
      </w:r>
      <w:r>
        <w:rPr>
          <w:spacing w:val="-3"/>
        </w:rPr>
        <w:t> </w:t>
      </w:r>
      <w:r>
        <w:rPr/>
        <w:t>资产构成重大变动情况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339"/>
        <w:gridCol w:w="1730"/>
        <w:gridCol w:w="854"/>
        <w:gridCol w:w="1762"/>
        <w:gridCol w:w="835"/>
        <w:gridCol w:w="775"/>
        <w:gridCol w:w="2342"/>
      </w:tblGrid>
      <w:tr>
        <w:trPr>
          <w:trHeight w:val="362" w:hRule="exact"/>
        </w:trPr>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775" w:type="dxa"/>
            <w:vMerge w:val="restart"/>
            <w:tcBorders>
              <w:top w:val="single" w:sz="4" w:space="0" w:color="000000"/>
              <w:left w:val="single" w:sz="4" w:space="0" w:color="000000"/>
              <w:right w:val="single" w:sz="4" w:space="0" w:color="000000"/>
            </w:tcBorders>
          </w:tcPr>
          <w:p>
            <w:pPr>
              <w:pStyle w:val="TableParagraph"/>
              <w:spacing w:line="316" w:lineRule="auto" w:before="73"/>
              <w:ind w:left="103" w:right="120"/>
              <w:jc w:val="both"/>
              <w:rPr>
                <w:rFonts w:ascii="宋体" w:hAnsi="宋体" w:cs="宋体" w:eastAsia="宋体" w:hint="default"/>
                <w:sz w:val="18"/>
                <w:szCs w:val="18"/>
              </w:rPr>
            </w:pPr>
            <w:r>
              <w:rPr>
                <w:rFonts w:ascii="宋体" w:hAnsi="宋体" w:cs="宋体" w:eastAsia="宋体" w:hint="default"/>
                <w:sz w:val="18"/>
                <w:szCs w:val="18"/>
              </w:rPr>
              <w:t>比重增 减百分 点</w:t>
            </w:r>
          </w:p>
        </w:tc>
        <w:tc>
          <w:tcPr>
            <w:tcW w:w="2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626" w:right="0"/>
              <w:jc w:val="left"/>
              <w:rPr>
                <w:rFonts w:ascii="宋体" w:hAnsi="宋体" w:cs="宋体" w:eastAsia="宋体" w:hint="default"/>
                <w:sz w:val="18"/>
                <w:szCs w:val="18"/>
              </w:rPr>
            </w:pPr>
            <w:r>
              <w:rPr>
                <w:rFonts w:ascii="宋体" w:hAnsi="宋体" w:cs="宋体" w:eastAsia="宋体" w:hint="default"/>
                <w:sz w:val="18"/>
                <w:szCs w:val="18"/>
              </w:rPr>
              <w:t>变动情况说明</w:t>
            </w:r>
          </w:p>
        </w:tc>
      </w:tr>
      <w:tr>
        <w:trPr>
          <w:trHeight w:val="710" w:hRule="exact"/>
        </w:trPr>
        <w:tc>
          <w:tcPr>
            <w:tcW w:w="1339"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2"/>
                <w:sz w:val="18"/>
                <w:szCs w:val="18"/>
              </w:rPr>
              <w:t> </w:t>
            </w:r>
            <w:r>
              <w:rPr>
                <w:rFonts w:ascii="宋体" w:hAnsi="宋体" w:cs="宋体" w:eastAsia="宋体" w:hint="default"/>
                <w:sz w:val="18"/>
                <w:szCs w:val="18"/>
              </w:rPr>
              <w:t>总</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比</w:t>
            </w:r>
            <w:r>
              <w:rPr>
                <w:rFonts w:ascii="宋体" w:hAnsi="宋体" w:cs="宋体" w:eastAsia="宋体" w:hint="default"/>
                <w:spacing w:val="-42"/>
                <w:sz w:val="18"/>
                <w:szCs w:val="18"/>
              </w:rPr>
              <w:t> </w:t>
            </w:r>
            <w:r>
              <w:rPr>
                <w:rFonts w:ascii="宋体" w:hAnsi="宋体" w:cs="宋体" w:eastAsia="宋体" w:hint="default"/>
                <w:sz w:val="18"/>
                <w:szCs w:val="18"/>
              </w:rPr>
              <w:t>例</w:t>
            </w:r>
            <w:r>
              <w:rPr>
                <w:rFonts w:ascii="宋体" w:hAnsi="宋体" w:cs="宋体" w:eastAsia="宋体" w:hint="default"/>
                <w:sz w:val="18"/>
                <w:szCs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52"/>
                <w:sz w:val="18"/>
                <w:szCs w:val="18"/>
              </w:rPr>
              <w:t> </w:t>
            </w:r>
            <w:r>
              <w:rPr>
                <w:rFonts w:ascii="宋体" w:hAnsi="宋体" w:cs="宋体" w:eastAsia="宋体" w:hint="default"/>
                <w:sz w:val="18"/>
                <w:szCs w:val="18"/>
              </w:rPr>
              <w:t>总</w:t>
            </w:r>
            <w:r>
              <w:rPr>
                <w:rFonts w:ascii="宋体" w:hAnsi="宋体" w:cs="宋体" w:eastAsia="宋体" w:hint="default"/>
                <w:spacing w:val="-52"/>
                <w:sz w:val="18"/>
                <w:szCs w:val="18"/>
              </w:rPr>
              <w:t> </w:t>
            </w:r>
            <w:r>
              <w:rPr>
                <w:rFonts w:ascii="宋体" w:hAnsi="宋体" w:cs="宋体" w:eastAsia="宋体" w:hint="default"/>
                <w:sz w:val="18"/>
                <w:szCs w:val="18"/>
              </w:rPr>
              <w:t>资</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52"/>
                <w:sz w:val="18"/>
                <w:szCs w:val="18"/>
              </w:rPr>
              <w:t> </w:t>
            </w:r>
            <w:r>
              <w:rPr>
                <w:rFonts w:ascii="宋体" w:hAnsi="宋体" w:cs="宋体" w:eastAsia="宋体" w:hint="default"/>
                <w:sz w:val="18"/>
                <w:szCs w:val="18"/>
              </w:rPr>
              <w:t>比</w:t>
            </w:r>
            <w:r>
              <w:rPr>
                <w:rFonts w:ascii="宋体" w:hAnsi="宋体" w:cs="宋体" w:eastAsia="宋体" w:hint="default"/>
                <w:spacing w:val="-52"/>
                <w:sz w:val="18"/>
                <w:szCs w:val="18"/>
              </w:rPr>
              <w:t> </w:t>
            </w:r>
            <w:r>
              <w:rPr>
                <w:rFonts w:ascii="宋体" w:hAnsi="宋体" w:cs="宋体" w:eastAsia="宋体" w:hint="default"/>
                <w:sz w:val="18"/>
                <w:szCs w:val="18"/>
              </w:rPr>
              <w:t>例</w:t>
            </w:r>
            <w:r>
              <w:rPr>
                <w:rFonts w:ascii="宋体" w:hAnsi="宋体" w:cs="宋体" w:eastAsia="宋体" w:hint="default"/>
                <w:sz w:val="18"/>
                <w:szCs w:val="18"/>
              </w:rPr>
              <w:t> (%)</w:t>
            </w:r>
          </w:p>
        </w:tc>
        <w:tc>
          <w:tcPr>
            <w:tcW w:w="775" w:type="dxa"/>
            <w:vMerge/>
            <w:tcBorders>
              <w:left w:val="single" w:sz="4" w:space="0" w:color="000000"/>
              <w:bottom w:val="single" w:sz="4" w:space="0" w:color="000000"/>
              <w:right w:val="single" w:sz="4" w:space="0" w:color="000000"/>
            </w:tcBorders>
          </w:tcPr>
          <w:p>
            <w:pPr/>
          </w:p>
        </w:tc>
        <w:tc>
          <w:tcPr>
            <w:tcW w:w="2342" w:type="dxa"/>
            <w:vMerge/>
            <w:tcBorders>
              <w:left w:val="single" w:sz="4" w:space="0" w:color="000000"/>
              <w:bottom w:val="single" w:sz="4" w:space="0" w:color="000000"/>
              <w:right w:val="single" w:sz="4" w:space="0" w:color="000000"/>
            </w:tcBorders>
          </w:tcPr>
          <w:p>
            <w:pPr/>
          </w:p>
        </w:tc>
      </w:tr>
      <w:tr>
        <w:trPr>
          <w:trHeight w:val="324"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345,057,871.73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10.71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338,214,720.30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11.31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-0.60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710"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689,459,688.75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21.39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488,840,417.93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16.35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5.04</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本期应收账款创世漫道增</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2"/>
                <w:sz w:val="18"/>
                <w:szCs w:val="18"/>
              </w:rPr>
              <w:t> </w:t>
            </w:r>
            <w:r>
              <w:rPr>
                <w:rFonts w:ascii="宋体" w:hAnsi="宋体" w:cs="宋体" w:eastAsia="宋体" w:hint="default"/>
                <w:sz w:val="18"/>
                <w:szCs w:val="18"/>
              </w:rPr>
              <w:t>7,053</w:t>
            </w:r>
            <w:r>
              <w:rPr>
                <w:rFonts w:ascii="宋体" w:hAnsi="宋体" w:cs="宋体" w:eastAsia="宋体" w:hint="default"/>
                <w:spacing w:val="-42"/>
                <w:sz w:val="18"/>
                <w:szCs w:val="18"/>
              </w:rPr>
              <w:t> </w:t>
            </w:r>
            <w:r>
              <w:rPr>
                <w:rFonts w:ascii="宋体" w:hAnsi="宋体" w:cs="宋体" w:eastAsia="宋体" w:hint="default"/>
                <w:spacing w:val="-5"/>
                <w:sz w:val="18"/>
                <w:szCs w:val="18"/>
              </w:rPr>
              <w:t>万元，长实通信增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5"/>
                <w:sz w:val="18"/>
                <w:szCs w:val="18"/>
              </w:rPr>
              <w:t> </w:t>
            </w:r>
            <w:r>
              <w:rPr>
                <w:rFonts w:ascii="宋体" w:hAnsi="宋体" w:cs="宋体" w:eastAsia="宋体" w:hint="default"/>
                <w:sz w:val="18"/>
                <w:szCs w:val="18"/>
              </w:rPr>
              <w:t>13,442</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5,342,112.31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0.17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3,298,028.05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0.11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0.06</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73,271,014.26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2.27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66,327,258.75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0.05</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20,000,000.00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0.62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20,000,000.00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0.67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-0.05</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未有大变动</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30,500,802.87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0.95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34,333,070.02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-0.20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年末清理了个人欠款。</w:t>
            </w:r>
          </w:p>
        </w:tc>
      </w:tr>
      <w:tr>
        <w:trPr>
          <w:trHeight w:val="478"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1,738,912,402.40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53.95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1,738,912,401.40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58.16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-4.21</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商誉金额未有变动，占总资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产比例下降。</w:t>
            </w:r>
          </w:p>
        </w:tc>
      </w:tr>
      <w:tr>
        <w:trPr>
          <w:trHeight w:val="478"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314,946,180.67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9.77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z w:val="18"/>
              </w:rPr>
              <w:t>281,530,477.77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0.35</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公司合理利用供应商信用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导致。</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3,223,186,028.74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2,989,901,779.61</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0"/>
          <w:szCs w:val="20"/>
        </w:rPr>
      </w:pPr>
    </w:p>
    <w:p>
      <w:pPr>
        <w:pStyle w:val="BodyText"/>
        <w:tabs>
          <w:tab w:pos="8056" w:val="left" w:leader="none"/>
        </w:tabs>
        <w:spacing w:line="240" w:lineRule="auto" w:before="36"/>
        <w:ind w:left="813" w:right="342"/>
        <w:jc w:val="left"/>
      </w:pPr>
      <w:r>
        <w:rPr/>
        <w:t>(二)</w:t>
      </w:r>
      <w:r>
        <w:rPr>
          <w:spacing w:val="-2"/>
        </w:rPr>
        <w:t> </w:t>
      </w:r>
      <w:r>
        <w:rPr/>
        <w:t>以公允价值计量的资产和负债</w:t>
        <w:tab/>
        <w:t>金额单位：元</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26"/>
        <w:gridCol w:w="804"/>
        <w:gridCol w:w="1181"/>
        <w:gridCol w:w="1212"/>
        <w:gridCol w:w="773"/>
        <w:gridCol w:w="1418"/>
        <w:gridCol w:w="622"/>
        <w:gridCol w:w="1502"/>
      </w:tblGrid>
      <w:tr>
        <w:trPr>
          <w:trHeight w:val="71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期初数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98"/>
              <w:jc w:val="left"/>
              <w:rPr>
                <w:rFonts w:ascii="宋体" w:hAnsi="宋体" w:cs="宋体" w:eastAsia="宋体" w:hint="default"/>
                <w:sz w:val="18"/>
                <w:szCs w:val="18"/>
              </w:rPr>
            </w:pPr>
            <w:r>
              <w:rPr>
                <w:rFonts w:ascii="宋体" w:hAnsi="宋体" w:cs="宋体" w:eastAsia="宋体" w:hint="default"/>
                <w:spacing w:val="12"/>
                <w:sz w:val="18"/>
                <w:szCs w:val="18"/>
              </w:rPr>
              <w:t>本期公允价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值变动损益</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入</w:t>
            </w:r>
            <w:r>
              <w:rPr>
                <w:rFonts w:ascii="宋体" w:hAnsi="宋体" w:cs="宋体" w:eastAsia="宋体" w:hint="default"/>
                <w:spacing w:val="-66"/>
                <w:sz w:val="18"/>
                <w:szCs w:val="18"/>
              </w:rPr>
              <w:t> </w:t>
            </w:r>
            <w:r>
              <w:rPr>
                <w:rFonts w:ascii="宋体" w:hAnsi="宋体" w:cs="宋体" w:eastAsia="宋体" w:hint="default"/>
                <w:sz w:val="18"/>
                <w:szCs w:val="18"/>
              </w:rPr>
              <w:t>权</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宋体" w:hAnsi="宋体" w:cs="宋体" w:eastAsia="宋体" w:hint="default"/>
                <w:spacing w:val="-66"/>
                <w:sz w:val="18"/>
                <w:szCs w:val="18"/>
              </w:rPr>
              <w:t> </w:t>
            </w:r>
            <w:r>
              <w:rPr>
                <w:rFonts w:ascii="宋体" w:hAnsi="宋体" w:cs="宋体" w:eastAsia="宋体" w:hint="default"/>
                <w:sz w:val="18"/>
                <w:szCs w:val="18"/>
              </w:rPr>
              <w:t>的</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累</w:t>
            </w:r>
            <w:r>
              <w:rPr>
                <w:rFonts w:ascii="宋体" w:hAnsi="宋体" w:cs="宋体" w:eastAsia="宋体" w:hint="default"/>
                <w:spacing w:val="-66"/>
                <w:sz w:val="18"/>
                <w:szCs w:val="18"/>
              </w:rPr>
              <w:t> </w:t>
            </w:r>
            <w:r>
              <w:rPr>
                <w:rFonts w:ascii="宋体" w:hAnsi="宋体" w:cs="宋体" w:eastAsia="宋体" w:hint="default"/>
                <w:sz w:val="18"/>
                <w:szCs w:val="18"/>
              </w:rPr>
              <w:t>计</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允</w:t>
            </w:r>
            <w:r>
              <w:rPr>
                <w:rFonts w:ascii="宋体" w:hAnsi="宋体" w:cs="宋体" w:eastAsia="宋体" w:hint="default"/>
                <w:spacing w:val="-66"/>
                <w:sz w:val="18"/>
                <w:szCs w:val="18"/>
              </w:rPr>
              <w:t> </w:t>
            </w:r>
            <w:r>
              <w:rPr>
                <w:rFonts w:ascii="宋体" w:hAnsi="宋体" w:cs="宋体" w:eastAsia="宋体" w:hint="default"/>
                <w:sz w:val="18"/>
                <w:szCs w:val="18"/>
              </w:rPr>
              <w:t>价</w:t>
            </w:r>
            <w:r>
              <w:rPr>
                <w:rFonts w:ascii="宋体" w:hAnsi="宋体" w:cs="宋体" w:eastAsia="宋体" w:hint="default"/>
                <w:sz w:val="18"/>
                <w:szCs w:val="18"/>
              </w:rPr>
              <w:t> 值变动</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本期计</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4"/>
                <w:sz w:val="18"/>
                <w:szCs w:val="18"/>
              </w:rPr>
              <w:t>提的减</w:t>
            </w:r>
            <w:r>
              <w:rPr>
                <w:rFonts w:ascii="宋体" w:hAnsi="宋体" w:cs="宋体" w:eastAsia="宋体" w:hint="default"/>
                <w:sz w:val="18"/>
                <w:szCs w:val="18"/>
              </w:rPr>
              <w:t> 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2"/>
                <w:sz w:val="18"/>
                <w:szCs w:val="18"/>
              </w:rPr>
              <w:t> </w:t>
            </w:r>
            <w:r>
              <w:rPr>
                <w:rFonts w:ascii="宋体" w:hAnsi="宋体" w:cs="宋体" w:eastAsia="宋体" w:hint="default"/>
                <w:sz w:val="18"/>
                <w:szCs w:val="18"/>
              </w:rPr>
              <w:t>期</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42"/>
                <w:sz w:val="18"/>
                <w:szCs w:val="18"/>
              </w:rPr>
              <w:t> </w:t>
            </w:r>
            <w:r>
              <w:rPr>
                <w:rFonts w:ascii="宋体" w:hAnsi="宋体" w:cs="宋体" w:eastAsia="宋体" w:hint="default"/>
                <w:sz w:val="18"/>
                <w:szCs w:val="18"/>
              </w:rPr>
              <w:t>售</w:t>
            </w:r>
            <w:r>
              <w:rPr>
                <w:rFonts w:ascii="宋体" w:hAnsi="宋体" w:cs="宋体" w:eastAsia="宋体" w:hint="default"/>
                <w:sz w:val="18"/>
                <w:szCs w:val="18"/>
              </w:rPr>
              <w:t> 金额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512" w:type="dxa"/>
            <w:gridSpan w:val="7"/>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1.以公允价值计量且其</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10"/>
                <w:sz w:val="18"/>
                <w:szCs w:val="18"/>
              </w:rPr>
              <w:t>变动计入当期损益的金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融资产(不含衍生金融资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z w:val="18"/>
              </w:rPr>
              <w:t>104,182.24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104,182.24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 w:right="0"/>
              <w:jc w:val="center"/>
              <w:rPr>
                <w:rFonts w:ascii="宋体" w:hAnsi="宋体" w:cs="宋体" w:eastAsia="宋体" w:hint="default"/>
                <w:sz w:val="18"/>
                <w:szCs w:val="18"/>
              </w:rPr>
            </w:pPr>
            <w:r>
              <w:rPr>
                <w:rFonts w:ascii="宋体"/>
                <w:sz w:val="18"/>
              </w:rPr>
              <w:t>30,000,000.00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 w:right="0"/>
              <w:jc w:val="center"/>
              <w:rPr>
                <w:rFonts w:ascii="宋体" w:hAnsi="宋体" w:cs="宋体" w:eastAsia="宋体" w:hint="default"/>
                <w:sz w:val="18"/>
                <w:szCs w:val="18"/>
              </w:rPr>
            </w:pPr>
            <w:r>
              <w:rPr>
                <w:rFonts w:ascii="宋体"/>
                <w:sz w:val="18"/>
              </w:rPr>
              <w:t>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30,104,182.24</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104,182.24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104,182.24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宋体" w:hAnsi="宋体" w:cs="宋体" w:eastAsia="宋体" w:hint="default"/>
                <w:sz w:val="18"/>
                <w:szCs w:val="18"/>
              </w:rPr>
            </w:pPr>
            <w:r>
              <w:rPr>
                <w:rFonts w:ascii="宋体"/>
                <w:sz w:val="18"/>
              </w:rPr>
              <w:t>30,000,000.00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 w:right="0"/>
              <w:jc w:val="center"/>
              <w:rPr>
                <w:rFonts w:ascii="宋体" w:hAnsi="宋体" w:cs="宋体" w:eastAsia="宋体" w:hint="default"/>
                <w:sz w:val="18"/>
                <w:szCs w:val="18"/>
              </w:rPr>
            </w:pPr>
            <w:r>
              <w:rPr>
                <w:rFonts w:ascii="宋体"/>
                <w:sz w:val="18"/>
              </w:rPr>
              <w:t>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30,104,182.24</w:t>
            </w:r>
          </w:p>
        </w:tc>
      </w:tr>
      <w:tr>
        <w:trPr>
          <w:trHeight w:val="57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75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103" w:right="100"/>
              <w:jc w:val="left"/>
              <w:rPr>
                <w:rFonts w:ascii="宋体" w:hAnsi="宋体" w:cs="宋体" w:eastAsia="宋体" w:hint="default"/>
                <w:sz w:val="18"/>
                <w:szCs w:val="18"/>
              </w:rPr>
            </w:pPr>
            <w:r>
              <w:rPr>
                <w:rFonts w:ascii="宋体" w:hAnsi="宋体" w:cs="宋体" w:eastAsia="宋体" w:hint="default"/>
                <w:spacing w:val="-3"/>
                <w:sz w:val="18"/>
                <w:szCs w:val="18"/>
              </w:rPr>
              <w:t>公司没有衍生金融资产、可供出售金融资产、投资性房地产、生产性生物资产、其他公允价值</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计量资产和金融负债。</w:t>
            </w:r>
          </w:p>
        </w:tc>
      </w:tr>
    </w:tbl>
    <w:p>
      <w:pPr>
        <w:spacing w:after="0" w:line="232" w:lineRule="exact"/>
        <w:jc w:val="left"/>
        <w:rPr>
          <w:rFonts w:ascii="宋体" w:hAnsi="宋体" w:cs="宋体" w:eastAsia="宋体" w:hint="default"/>
          <w:sz w:val="18"/>
          <w:szCs w:val="18"/>
        </w:rPr>
        <w:sectPr>
          <w:footerReference w:type="default" r:id="rId26"/>
          <w:pgSz w:w="11910" w:h="16840"/>
          <w:pgMar w:footer="1000" w:header="884" w:top="1140" w:bottom="1200" w:left="1080" w:right="960"/>
          <w:pgNumType w:start="2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6487" w:val="left" w:leader="none"/>
        </w:tabs>
        <w:spacing w:line="240" w:lineRule="auto" w:before="36"/>
        <w:ind w:left="813" w:right="1174"/>
        <w:jc w:val="left"/>
      </w:pPr>
      <w:r>
        <w:rPr/>
        <w:t>报告期内公司主要资产计量属性是否发生重大变化： □</w:t>
      </w:r>
      <w:r>
        <w:rPr>
          <w:spacing w:val="-2"/>
        </w:rPr>
        <w:t> </w:t>
      </w:r>
      <w:r>
        <w:rPr/>
        <w:t>是</w:t>
        <w:tab/>
        <w:t>√</w:t>
      </w:r>
      <w:r>
        <w:rPr>
          <w:spacing w:val="1"/>
        </w:rPr>
        <w:t> </w:t>
      </w:r>
      <w:r>
        <w:rPr/>
        <w:t>否。</w:t>
      </w:r>
    </w:p>
    <w:p>
      <w:pPr>
        <w:spacing w:line="240" w:lineRule="auto" w:before="10"/>
        <w:rPr>
          <w:rFonts w:ascii="宋体" w:hAnsi="宋体" w:cs="宋体" w:eastAsia="宋体" w:hint="default"/>
          <w:sz w:val="14"/>
          <w:szCs w:val="14"/>
        </w:rPr>
      </w:pPr>
    </w:p>
    <w:p>
      <w:pPr>
        <w:pStyle w:val="BodyText"/>
        <w:spacing w:line="300" w:lineRule="auto" w:before="0"/>
        <w:ind w:left="813" w:right="342"/>
        <w:jc w:val="left"/>
      </w:pPr>
      <w:r>
        <w:rPr/>
        <w:t>(三)</w:t>
      </w:r>
      <w:r>
        <w:rPr>
          <w:spacing w:val="-2"/>
        </w:rPr>
        <w:t> </w:t>
      </w:r>
      <w:r>
        <w:rPr/>
        <w:t>截至报告期末的资产权利受限情况</w:t>
      </w:r>
      <w:r>
        <w:rPr>
          <w:w w:val="100"/>
        </w:rPr>
        <w:t> </w:t>
      </w:r>
      <w:r>
        <w:rPr>
          <w:spacing w:val="-2"/>
        </w:rPr>
        <w:t>截至报告期末，公司的主要资产没有被查封、扣押、冻结或者被抵押、质押，没有必须具备一</w:t>
      </w:r>
    </w:p>
    <w:p>
      <w:pPr>
        <w:pStyle w:val="BodyText"/>
        <w:spacing w:line="259" w:lineRule="exact" w:before="0"/>
        <w:ind w:left="393" w:right="342"/>
        <w:jc w:val="left"/>
      </w:pPr>
      <w:r>
        <w:rPr/>
        <w:t>定条件才能变现、无法变现、无法用于抵偿债务的情况，以及该等资产占有、使用、受益和处分权</w:t>
      </w:r>
    </w:p>
    <w:p>
      <w:pPr>
        <w:pStyle w:val="BodyText"/>
        <w:spacing w:line="240" w:lineRule="auto" w:before="37"/>
        <w:ind w:left="393" w:right="1174"/>
        <w:jc w:val="left"/>
      </w:pPr>
      <w:r>
        <w:rPr/>
        <w:t>利受到限制的情况和安排。</w:t>
      </w:r>
    </w:p>
    <w:p>
      <w:pPr>
        <w:spacing w:line="240" w:lineRule="auto" w:before="10"/>
        <w:rPr>
          <w:rFonts w:ascii="宋体" w:hAnsi="宋体" w:cs="宋体" w:eastAsia="宋体" w:hint="default"/>
          <w:sz w:val="14"/>
          <w:szCs w:val="14"/>
        </w:rPr>
      </w:pPr>
    </w:p>
    <w:p>
      <w:pPr>
        <w:pStyle w:val="BodyText"/>
        <w:spacing w:line="273" w:lineRule="auto" w:before="0"/>
        <w:ind w:left="813" w:right="1174"/>
        <w:jc w:val="left"/>
      </w:pPr>
      <w:r>
        <w:rPr/>
        <w:t>四、投资情况</w:t>
      </w:r>
      <w:r>
        <w:rPr>
          <w:w w:val="100"/>
        </w:rPr>
        <w:t> </w:t>
      </w:r>
      <w:r>
        <w:rPr>
          <w:spacing w:val="-2"/>
        </w:rPr>
        <w:t>报告期公司没有衍生品投资；没有报告期之前募集资金的使用延续到报告期内的。</w:t>
      </w:r>
    </w:p>
    <w:p>
      <w:pPr>
        <w:pStyle w:val="BodyText"/>
        <w:spacing w:line="240" w:lineRule="auto" w:before="164"/>
        <w:ind w:left="813" w:right="1174"/>
        <w:jc w:val="left"/>
      </w:pPr>
      <w:r>
        <w:rPr/>
        <w:t>(一)</w:t>
      </w:r>
      <w:r>
        <w:rPr>
          <w:spacing w:val="2"/>
        </w:rPr>
        <w:t> </w:t>
      </w:r>
      <w:r>
        <w:rPr/>
        <w:t>总体情况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118"/>
        <w:gridCol w:w="3403"/>
        <w:gridCol w:w="3118"/>
      </w:tblGrid>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报告期投资额(万元)</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6" w:right="0"/>
              <w:jc w:val="left"/>
              <w:rPr>
                <w:rFonts w:ascii="宋体" w:hAnsi="宋体" w:cs="宋体" w:eastAsia="宋体" w:hint="default"/>
                <w:sz w:val="18"/>
                <w:szCs w:val="18"/>
              </w:rPr>
            </w:pPr>
            <w:r>
              <w:rPr>
                <w:rFonts w:ascii="宋体" w:hAnsi="宋体" w:cs="宋体" w:eastAsia="宋体" w:hint="default"/>
                <w:sz w:val="18"/>
                <w:szCs w:val="18"/>
              </w:rPr>
              <w:t>上年同期投资额(万元)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21"/>
                <w:szCs w:val="21"/>
              </w:rPr>
              <w:t>%</w:t>
            </w:r>
            <w:r>
              <w:rPr>
                <w:rFonts w:ascii="宋体" w:hAnsi="宋体" w:cs="宋体" w:eastAsia="宋体" w:hint="default"/>
                <w:sz w:val="18"/>
                <w:szCs w:val="18"/>
              </w:rPr>
              <w:t>)</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＞100.00</w:t>
            </w:r>
          </w:p>
        </w:tc>
      </w:tr>
    </w:tbl>
    <w:p>
      <w:pPr>
        <w:spacing w:line="240" w:lineRule="auto" w:before="2"/>
        <w:rPr>
          <w:rFonts w:ascii="宋体" w:hAnsi="宋体" w:cs="宋体" w:eastAsia="宋体" w:hint="default"/>
          <w:sz w:val="20"/>
          <w:szCs w:val="20"/>
        </w:rPr>
      </w:pPr>
    </w:p>
    <w:p>
      <w:pPr>
        <w:pStyle w:val="BodyText"/>
        <w:tabs>
          <w:tab w:pos="7848" w:val="left" w:leader="none"/>
        </w:tabs>
        <w:spacing w:line="240" w:lineRule="auto" w:before="36"/>
        <w:ind w:left="813" w:right="342"/>
        <w:jc w:val="left"/>
      </w:pPr>
      <w:r>
        <w:rPr>
          <w:spacing w:val="-1"/>
        </w:rPr>
        <w:t>分项情况</w:t>
        <w:tab/>
      </w:r>
      <w:r>
        <w:rPr>
          <w:spacing w:val="-2"/>
        </w:rPr>
        <w:t>金额单位：万元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5"/>
        <w:gridCol w:w="1416"/>
        <w:gridCol w:w="994"/>
        <w:gridCol w:w="850"/>
        <w:gridCol w:w="852"/>
        <w:gridCol w:w="708"/>
        <w:gridCol w:w="708"/>
        <w:gridCol w:w="708"/>
        <w:gridCol w:w="569"/>
        <w:gridCol w:w="142"/>
        <w:gridCol w:w="1558"/>
      </w:tblGrid>
      <w:tr>
        <w:trPr>
          <w:trHeight w:val="478"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42"/>
                <w:sz w:val="18"/>
                <w:szCs w:val="18"/>
              </w:rPr>
              <w:t> </w:t>
            </w:r>
            <w:r>
              <w:rPr>
                <w:rFonts w:ascii="宋体" w:hAnsi="宋体" w:cs="宋体" w:eastAsia="宋体" w:hint="default"/>
                <w:sz w:val="18"/>
                <w:szCs w:val="18"/>
              </w:rPr>
              <w:t>资</w:t>
            </w:r>
            <w:r>
              <w:rPr>
                <w:rFonts w:ascii="宋体" w:hAnsi="宋体" w:cs="宋体" w:eastAsia="宋体" w:hint="default"/>
                <w:spacing w:val="-42"/>
                <w:sz w:val="18"/>
                <w:szCs w:val="18"/>
              </w:rPr>
              <w:t> </w:t>
            </w:r>
            <w:r>
              <w:rPr>
                <w:rFonts w:ascii="宋体" w:hAnsi="宋体" w:cs="宋体" w:eastAsia="宋体" w:hint="default"/>
                <w:sz w:val="18"/>
                <w:szCs w:val="18"/>
              </w:rPr>
              <w:t>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来源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截至资产负债表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日的进展情况</w:t>
            </w:r>
          </w:p>
        </w:tc>
      </w:tr>
      <w:tr>
        <w:trPr>
          <w:trHeight w:val="478"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新疆漫道通信科技有限公司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智能信息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传输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21"/>
              <w:jc w:val="right"/>
              <w:rPr>
                <w:rFonts w:ascii="宋体" w:hAnsi="宋体" w:cs="宋体" w:eastAsia="宋体" w:hint="default"/>
                <w:sz w:val="18"/>
                <w:szCs w:val="18"/>
              </w:rPr>
            </w:pPr>
            <w:r>
              <w:rPr>
                <w:rFonts w:ascii="宋体" w:hAnsi="宋体" w:cs="宋体" w:eastAsia="宋体" w:hint="default"/>
                <w:sz w:val="18"/>
                <w:szCs w:val="18"/>
              </w:rPr>
              <w:t>已注册登记</w:t>
            </w:r>
          </w:p>
        </w:tc>
      </w:tr>
      <w:tr>
        <w:trPr>
          <w:trHeight w:val="478"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新疆长实通信科技有限公司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通信网络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21"/>
              <w:jc w:val="right"/>
              <w:rPr>
                <w:rFonts w:ascii="宋体" w:hAnsi="宋体" w:cs="宋体" w:eastAsia="宋体" w:hint="default"/>
                <w:sz w:val="18"/>
                <w:szCs w:val="18"/>
              </w:rPr>
            </w:pPr>
            <w:r>
              <w:rPr>
                <w:rFonts w:ascii="宋体" w:hAnsi="宋体" w:cs="宋体" w:eastAsia="宋体" w:hint="default"/>
                <w:sz w:val="18"/>
                <w:szCs w:val="18"/>
              </w:rPr>
              <w:t>已注册登记</w:t>
            </w:r>
          </w:p>
        </w:tc>
      </w:tr>
      <w:tr>
        <w:trPr>
          <w:trHeight w:val="475"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霍尔果斯长实云谷信息科技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IDC 机</w:t>
            </w:r>
            <w:r>
              <w:rPr>
                <w:rFonts w:ascii="宋体" w:hAnsi="宋体" w:cs="宋体" w:eastAsia="宋体" w:hint="default"/>
                <w:spacing w:val="-32"/>
                <w:sz w:val="18"/>
                <w:szCs w:val="18"/>
              </w:rPr>
              <w:t> </w:t>
            </w:r>
            <w:r>
              <w:rPr>
                <w:rFonts w:ascii="宋体" w:hAnsi="宋体" w:cs="宋体" w:eastAsia="宋体" w:hint="default"/>
                <w:sz w:val="18"/>
                <w:szCs w:val="18"/>
              </w:rPr>
              <w:t>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建设维护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21"/>
              <w:jc w:val="right"/>
              <w:rPr>
                <w:rFonts w:ascii="宋体" w:hAnsi="宋体" w:cs="宋体" w:eastAsia="宋体" w:hint="default"/>
                <w:sz w:val="18"/>
                <w:szCs w:val="18"/>
              </w:rPr>
            </w:pPr>
            <w:r>
              <w:rPr>
                <w:rFonts w:ascii="宋体" w:hAnsi="宋体" w:cs="宋体" w:eastAsia="宋体" w:hint="default"/>
                <w:sz w:val="18"/>
                <w:szCs w:val="18"/>
              </w:rPr>
              <w:t>已注册登记</w:t>
            </w:r>
          </w:p>
        </w:tc>
      </w:tr>
      <w:tr>
        <w:trPr>
          <w:trHeight w:val="322"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324"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披露索引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135" w:type="dxa"/>
            <w:vMerge/>
            <w:tcBorders>
              <w:left w:val="single" w:sz="4" w:space="0" w:color="000000"/>
              <w:right w:val="single" w:sz="4" w:space="0" w:color="000000"/>
            </w:tcBorders>
          </w:tcPr>
          <w:p>
            <w:pP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公告名称(编号)</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1135" w:type="dxa"/>
            <w:vMerge/>
            <w:tcBorders>
              <w:left w:val="single" w:sz="4" w:space="0" w:color="000000"/>
              <w:right w:val="single" w:sz="4" w:space="0" w:color="000000"/>
            </w:tcBorders>
          </w:tcPr>
          <w:p>
            <w:pP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公司第七届董事会</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年第一次会议决议公告(公告编号：2017—11)</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sz w:val="18"/>
              </w:rPr>
              <w:t>2017-02-22</w:t>
            </w:r>
          </w:p>
        </w:tc>
      </w:tr>
      <w:tr>
        <w:trPr>
          <w:trHeight w:val="322" w:hRule="exact"/>
        </w:trPr>
        <w:tc>
          <w:tcPr>
            <w:tcW w:w="1135" w:type="dxa"/>
            <w:vMerge/>
            <w:tcBorders>
              <w:left w:val="single" w:sz="4" w:space="0" w:color="000000"/>
              <w:right w:val="single" w:sz="4" w:space="0" w:color="000000"/>
            </w:tcBorders>
          </w:tcPr>
          <w:p>
            <w:pP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公司第七届董事会</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年第十次会议决议公告(公告编号：2017—67)</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sz w:val="18"/>
              </w:rPr>
              <w:t>2017-07-25</w:t>
            </w:r>
          </w:p>
        </w:tc>
      </w:tr>
      <w:tr>
        <w:trPr>
          <w:trHeight w:val="322" w:hRule="exact"/>
        </w:trPr>
        <w:tc>
          <w:tcPr>
            <w:tcW w:w="1135" w:type="dxa"/>
            <w:vMerge/>
            <w:tcBorders>
              <w:left w:val="single" w:sz="4" w:space="0" w:color="000000"/>
              <w:bottom w:val="single" w:sz="4" w:space="0" w:color="000000"/>
              <w:right w:val="single" w:sz="4" w:space="0" w:color="000000"/>
            </w:tcBorders>
          </w:tcPr>
          <w:p>
            <w:pP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公司第七届董事会</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年第十四次会议决议公告(公告编号：2017—94)</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sz w:val="18"/>
              </w:rPr>
              <w:t>2017-11-10</w:t>
            </w:r>
          </w:p>
        </w:tc>
      </w:tr>
    </w:tbl>
    <w:p>
      <w:pPr>
        <w:spacing w:line="240" w:lineRule="auto" w:before="2"/>
        <w:rPr>
          <w:rFonts w:ascii="宋体" w:hAnsi="宋体" w:cs="宋体" w:eastAsia="宋体" w:hint="default"/>
          <w:sz w:val="20"/>
          <w:szCs w:val="20"/>
        </w:rPr>
      </w:pPr>
    </w:p>
    <w:p>
      <w:pPr>
        <w:pStyle w:val="BodyText"/>
        <w:tabs>
          <w:tab w:pos="5119" w:val="left" w:leader="none"/>
          <w:tab w:pos="6064" w:val="left" w:leader="none"/>
        </w:tabs>
        <w:spacing w:line="240" w:lineRule="auto" w:before="36"/>
        <w:ind w:left="813" w:right="1174"/>
        <w:jc w:val="left"/>
      </w:pPr>
      <w:r>
        <w:rPr/>
        <w:t>(二)</w:t>
      </w:r>
      <w:r>
        <w:rPr>
          <w:spacing w:val="-4"/>
        </w:rPr>
        <w:t> </w:t>
      </w:r>
      <w:r>
        <w:rPr/>
        <w:t>报告期内获取的重大的股权投资情况：</w:t>
        <w:tab/>
        <w:t>□</w:t>
      </w:r>
      <w:r>
        <w:rPr>
          <w:spacing w:val="-2"/>
        </w:rPr>
        <w:t> </w:t>
      </w:r>
      <w:r>
        <w:rPr/>
        <w:t>适用</w:t>
        <w:tab/>
        <w:t>√</w:t>
      </w:r>
      <w:r>
        <w:rPr>
          <w:spacing w:val="-2"/>
        </w:rPr>
        <w:t> </w:t>
      </w:r>
      <w:r>
        <w:rPr/>
        <w:t>不适用。</w:t>
      </w:r>
    </w:p>
    <w:p>
      <w:pPr>
        <w:spacing w:line="240" w:lineRule="auto" w:before="12"/>
        <w:rPr>
          <w:rFonts w:ascii="宋体" w:hAnsi="宋体" w:cs="宋体" w:eastAsia="宋体" w:hint="default"/>
          <w:sz w:val="14"/>
          <w:szCs w:val="14"/>
        </w:rPr>
      </w:pPr>
    </w:p>
    <w:p>
      <w:pPr>
        <w:pStyle w:val="BodyText"/>
        <w:tabs>
          <w:tab w:pos="6484" w:val="left" w:leader="none"/>
        </w:tabs>
        <w:spacing w:line="405" w:lineRule="auto" w:before="0"/>
        <w:ind w:left="813" w:right="2221"/>
        <w:jc w:val="left"/>
      </w:pPr>
      <w:r>
        <w:rPr/>
        <w:t>(三) 报告期内正在进行的重大的非股权投资情况：□</w:t>
      </w:r>
      <w:r>
        <w:rPr>
          <w:spacing w:val="-5"/>
        </w:rPr>
        <w:t> </w:t>
      </w:r>
      <w:r>
        <w:rPr/>
        <w:t>适用</w:t>
        <w:tab/>
        <w:t>√ 不适用。</w:t>
      </w:r>
      <w:r>
        <w:rPr>
          <w:w w:val="100"/>
        </w:rPr>
        <w:t> </w:t>
      </w:r>
      <w:r>
        <w:rPr/>
        <w:t>(四)</w:t>
      </w:r>
      <w:r>
        <w:rPr>
          <w:spacing w:val="1"/>
        </w:rPr>
        <w:t> </w:t>
      </w:r>
      <w:r>
        <w:rPr/>
        <w:t>金融资产投资</w:t>
      </w:r>
    </w:p>
    <w:p>
      <w:pPr>
        <w:pStyle w:val="BodyText"/>
        <w:tabs>
          <w:tab w:pos="7953" w:val="left" w:leader="none"/>
        </w:tabs>
        <w:spacing w:line="230" w:lineRule="exact" w:before="0"/>
        <w:ind w:left="813" w:right="342"/>
        <w:jc w:val="left"/>
      </w:pPr>
      <w:r>
        <w:rPr>
          <w:spacing w:val="-2"/>
        </w:rPr>
        <w:t>1、证券投资情况</w:t>
        <w:tab/>
        <w:t>金额单位：元</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67"/>
        <w:gridCol w:w="624"/>
        <w:gridCol w:w="710"/>
        <w:gridCol w:w="425"/>
        <w:gridCol w:w="1042"/>
        <w:gridCol w:w="475"/>
        <w:gridCol w:w="854"/>
        <w:gridCol w:w="826"/>
        <w:gridCol w:w="1008"/>
        <w:gridCol w:w="420"/>
        <w:gridCol w:w="811"/>
        <w:gridCol w:w="994"/>
        <w:gridCol w:w="658"/>
        <w:gridCol w:w="425"/>
      </w:tblGrid>
      <w:tr>
        <w:trPr>
          <w:trHeight w:val="1411"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03" w:right="72"/>
              <w:jc w:val="both"/>
              <w:rPr>
                <w:rFonts w:ascii="宋体" w:hAnsi="宋体" w:cs="宋体" w:eastAsia="宋体" w:hint="default"/>
                <w:sz w:val="18"/>
                <w:szCs w:val="18"/>
              </w:rPr>
            </w:pPr>
            <w:r>
              <w:rPr>
                <w:rFonts w:ascii="宋体" w:hAnsi="宋体" w:cs="宋体" w:eastAsia="宋体" w:hint="default"/>
                <w:sz w:val="18"/>
                <w:szCs w:val="18"/>
              </w:rPr>
              <w:t>证 券 品 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27" w:right="125"/>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70" w:right="168"/>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最</w:t>
            </w:r>
          </w:p>
          <w:p>
            <w:pPr>
              <w:pStyle w:val="TableParagraph"/>
              <w:spacing w:line="237" w:lineRule="auto" w:before="2"/>
              <w:ind w:left="117" w:right="115"/>
              <w:jc w:val="both"/>
              <w:rPr>
                <w:rFonts w:ascii="宋体" w:hAnsi="宋体" w:cs="宋体" w:eastAsia="宋体" w:hint="default"/>
                <w:sz w:val="18"/>
                <w:szCs w:val="18"/>
              </w:rPr>
            </w:pPr>
            <w:r>
              <w:rPr>
                <w:rFonts w:ascii="宋体" w:hAnsi="宋体" w:cs="宋体" w:eastAsia="宋体" w:hint="default"/>
                <w:sz w:val="18"/>
                <w:szCs w:val="18"/>
              </w:rPr>
              <w:t>初 投 资 成 本</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335" w:right="155" w:hanging="180"/>
              <w:jc w:val="left"/>
              <w:rPr>
                <w:rFonts w:ascii="宋体" w:hAnsi="宋体" w:cs="宋体" w:eastAsia="宋体" w:hint="default"/>
                <w:sz w:val="18"/>
                <w:szCs w:val="18"/>
              </w:rPr>
            </w:pPr>
            <w:r>
              <w:rPr>
                <w:rFonts w:ascii="宋体" w:hAnsi="宋体" w:cs="宋体" w:eastAsia="宋体" w:hint="default"/>
                <w:sz w:val="18"/>
                <w:szCs w:val="18"/>
              </w:rPr>
              <w:t>会计计量 模式</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both"/>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237" w:lineRule="auto" w:before="2"/>
              <w:ind w:left="141" w:right="141"/>
              <w:jc w:val="both"/>
              <w:rPr>
                <w:rFonts w:ascii="宋体" w:hAnsi="宋体" w:cs="宋体" w:eastAsia="宋体" w:hint="default"/>
                <w:sz w:val="18"/>
                <w:szCs w:val="18"/>
              </w:rPr>
            </w:pPr>
            <w:r>
              <w:rPr>
                <w:rFonts w:ascii="宋体" w:hAnsi="宋体" w:cs="宋体" w:eastAsia="宋体" w:hint="default"/>
                <w:sz w:val="18"/>
                <w:szCs w:val="18"/>
              </w:rPr>
              <w:t>初 账 面 价 值</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03" w:right="199"/>
              <w:jc w:val="both"/>
              <w:rPr>
                <w:rFonts w:ascii="宋体" w:hAnsi="宋体" w:cs="宋体" w:eastAsia="宋体" w:hint="default"/>
                <w:sz w:val="18"/>
                <w:szCs w:val="18"/>
              </w:rPr>
            </w:pPr>
            <w:r>
              <w:rPr>
                <w:rFonts w:ascii="宋体" w:hAnsi="宋体" w:cs="宋体" w:eastAsia="宋体" w:hint="default"/>
                <w:sz w:val="18"/>
                <w:szCs w:val="18"/>
              </w:rPr>
              <w:t>本期公 允价值 变动损 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70"/>
              <w:jc w:val="both"/>
              <w:rPr>
                <w:rFonts w:ascii="宋体" w:hAnsi="宋体" w:cs="宋体" w:eastAsia="宋体" w:hint="default"/>
                <w:sz w:val="18"/>
                <w:szCs w:val="18"/>
              </w:rPr>
            </w:pPr>
            <w:r>
              <w:rPr>
                <w:rFonts w:ascii="宋体" w:hAnsi="宋体" w:cs="宋体" w:eastAsia="宋体" w:hint="default"/>
                <w:sz w:val="18"/>
                <w:szCs w:val="18"/>
              </w:rPr>
              <w:t>计入权 益的累 计公允 价值变 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73"/>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2"/>
              <w:ind w:left="103" w:right="124"/>
              <w:jc w:val="both"/>
              <w:rPr>
                <w:rFonts w:ascii="宋体" w:hAnsi="宋体" w:cs="宋体" w:eastAsia="宋体" w:hint="default"/>
                <w:sz w:val="18"/>
                <w:szCs w:val="18"/>
              </w:rPr>
            </w:pPr>
            <w:r>
              <w:rPr>
                <w:rFonts w:ascii="宋体" w:hAnsi="宋体" w:cs="宋体" w:eastAsia="宋体" w:hint="default"/>
                <w:sz w:val="18"/>
                <w:szCs w:val="18"/>
              </w:rPr>
              <w:t>期 出 售 金 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56"/>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58"/>
              <w:jc w:val="left"/>
              <w:rPr>
                <w:rFonts w:ascii="宋体" w:hAnsi="宋体" w:cs="宋体" w:eastAsia="宋体" w:hint="default"/>
                <w:sz w:val="18"/>
                <w:szCs w:val="18"/>
              </w:rPr>
            </w:pPr>
            <w:r>
              <w:rPr>
                <w:rFonts w:ascii="宋体" w:hAnsi="宋体" w:cs="宋体" w:eastAsia="宋体" w:hint="default"/>
                <w:sz w:val="18"/>
                <w:szCs w:val="18"/>
              </w:rPr>
              <w:t>期末账面 价值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44" w:right="141"/>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5"/>
              <w:ind w:left="117" w:right="115"/>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710"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72"/>
              <w:jc w:val="left"/>
              <w:rPr>
                <w:rFonts w:ascii="宋体" w:hAnsi="宋体" w:cs="宋体" w:eastAsia="宋体" w:hint="default"/>
                <w:sz w:val="18"/>
                <w:szCs w:val="18"/>
              </w:rPr>
            </w:pPr>
            <w:r>
              <w:rPr>
                <w:rFonts w:ascii="宋体" w:hAnsi="宋体" w:cs="宋体" w:eastAsia="宋体" w:hint="default"/>
                <w:sz w:val="18"/>
                <w:szCs w:val="18"/>
              </w:rPr>
              <w:t>基 金</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Gill Sans MT Condensed" w:hAnsi="Gill Sans MT Condensed" w:cs="Gill Sans MT Condensed" w:eastAsia="Gill Sans MT Condensed" w:hint="default"/>
                <w:sz w:val="18"/>
                <w:szCs w:val="18"/>
              </w:rPr>
            </w:pPr>
            <w:r>
              <w:rPr>
                <w:rFonts w:ascii="Gill Sans MT Condensed"/>
                <w:sz w:val="18"/>
              </w:rPr>
              <w:t>200103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5" w:right="99"/>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2"/>
                <w:sz w:val="18"/>
                <w:szCs w:val="18"/>
              </w:rPr>
              <w:t> </w:t>
            </w:r>
            <w:r>
              <w:rPr>
                <w:rFonts w:ascii="宋体" w:hAnsi="宋体" w:cs="宋体" w:eastAsia="宋体" w:hint="default"/>
                <w:sz w:val="18"/>
                <w:szCs w:val="18"/>
              </w:rPr>
              <w:t>城</w:t>
            </w:r>
            <w:r>
              <w:rPr>
                <w:rFonts w:ascii="宋体" w:hAnsi="宋体" w:cs="宋体" w:eastAsia="宋体" w:hint="default"/>
                <w:sz w:val="18"/>
                <w:szCs w:val="18"/>
              </w:rPr>
              <w:t> 货币</w:t>
            </w:r>
            <w:r>
              <w:rPr>
                <w:rFonts w:ascii="宋体" w:hAnsi="宋体" w:cs="宋体" w:eastAsia="宋体" w:hint="default"/>
                <w:spacing w:val="-47"/>
                <w:sz w:val="18"/>
                <w:szCs w:val="18"/>
              </w:rPr>
              <w:t> </w:t>
            </w:r>
            <w:r>
              <w:rPr>
                <w:rFonts w:ascii="宋体" w:hAnsi="宋体" w:cs="宋体" w:eastAsia="宋体" w:hint="default"/>
                <w:sz w:val="18"/>
                <w:szCs w:val="18"/>
              </w:rPr>
              <w:t>B</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p>
            <w:pPr>
              <w:pStyle w:val="TableParagraph"/>
              <w:spacing w:line="240" w:lineRule="auto"/>
              <w:ind w:left="103" w:right="206"/>
              <w:jc w:val="left"/>
              <w:rPr>
                <w:rFonts w:ascii="宋体" w:hAnsi="宋体" w:cs="宋体" w:eastAsia="宋体" w:hint="default"/>
                <w:sz w:val="18"/>
                <w:szCs w:val="18"/>
              </w:rPr>
            </w:pPr>
            <w:r>
              <w:rPr>
                <w:rFonts w:ascii="宋体" w:hAnsi="宋体" w:cs="宋体" w:eastAsia="宋体" w:hint="default"/>
                <w:sz w:val="18"/>
                <w:szCs w:val="18"/>
              </w:rPr>
              <w:t>计量计入 当期损益</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Gill Sans MT Condensed" w:hAnsi="Gill Sans MT Condensed" w:cs="Gill Sans MT Condensed" w:eastAsia="Gill Sans MT Condensed" w:hint="default"/>
                <w:sz w:val="18"/>
                <w:szCs w:val="18"/>
              </w:rPr>
            </w:pPr>
            <w:r>
              <w:rPr>
                <w:rFonts w:ascii="Gill Sans MT Condensed"/>
                <w:spacing w:val="-1"/>
                <w:sz w:val="18"/>
              </w:rPr>
              <w:t>104,182.24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104,182.24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30,000,000.00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104,182.24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30,104,182.24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10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9"/>
                <w:sz w:val="18"/>
                <w:szCs w:val="18"/>
              </w:rPr>
              <w:t> </w:t>
            </w:r>
            <w:r>
              <w:rPr>
                <w:rFonts w:ascii="宋体" w:hAnsi="宋体" w:cs="宋体" w:eastAsia="宋体" w:hint="default"/>
                <w:sz w:val="18"/>
                <w:szCs w:val="18"/>
              </w:rPr>
              <w:t>融</w:t>
            </w:r>
            <w:r>
              <w:rPr>
                <w:rFonts w:ascii="宋体" w:hAnsi="宋体" w:cs="宋体" w:eastAsia="宋体" w:hint="default"/>
                <w:sz w:val="18"/>
                <w:szCs w:val="18"/>
              </w:rPr>
              <w:t> 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129"/>
              <w:jc w:val="left"/>
              <w:rPr>
                <w:rFonts w:ascii="宋体" w:hAnsi="宋体" w:cs="宋体" w:eastAsia="宋体" w:hint="default"/>
                <w:sz w:val="18"/>
                <w:szCs w:val="18"/>
              </w:rPr>
            </w:pPr>
            <w:r>
              <w:rPr>
                <w:rFonts w:ascii="宋体" w:hAnsi="宋体" w:cs="宋体" w:eastAsia="宋体" w:hint="default"/>
                <w:sz w:val="18"/>
                <w:szCs w:val="18"/>
              </w:rPr>
              <w:t>自 有</w:t>
            </w:r>
          </w:p>
        </w:tc>
      </w:tr>
      <w:tr>
        <w:trPr>
          <w:trHeight w:val="478" w:hRule="exact"/>
        </w:trPr>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期末持有的其他证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券投资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w:t>
            </w:r>
          </w:p>
        </w:tc>
      </w:tr>
      <w:tr>
        <w:trPr>
          <w:trHeight w:val="322" w:hRule="exact"/>
        </w:trPr>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104,182.24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104,182.24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30,000,000.00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104,182.24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30,104,182.24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w:t>
            </w:r>
          </w:p>
        </w:tc>
      </w:tr>
      <w:tr>
        <w:trPr>
          <w:trHeight w:val="478" w:hRule="exact"/>
        </w:trPr>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证券投资审批董事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会公告披露日期</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董事会未审议披露。报告期后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日出售，未有损失。</w:t>
            </w:r>
          </w:p>
        </w:tc>
      </w:tr>
    </w:tbl>
    <w:p>
      <w:pPr>
        <w:spacing w:after="0" w:line="240" w:lineRule="auto"/>
        <w:jc w:val="left"/>
        <w:rPr>
          <w:rFonts w:ascii="宋体" w:hAnsi="宋体" w:cs="宋体" w:eastAsia="宋体" w:hint="default"/>
          <w:sz w:val="18"/>
          <w:szCs w:val="18"/>
        </w:rPr>
        <w:sectPr>
          <w:pgSz w:w="11910" w:h="16840"/>
          <w:pgMar w:header="884" w:footer="1000" w:top="1140" w:bottom="1200" w:left="1080" w:right="960"/>
        </w:sectPr>
      </w:pPr>
    </w:p>
    <w:p>
      <w:pPr>
        <w:pStyle w:val="BodyText"/>
        <w:tabs>
          <w:tab w:pos="3755" w:val="left" w:leader="none"/>
          <w:tab w:pos="4279" w:val="left" w:leader="none"/>
        </w:tabs>
        <w:spacing w:line="408" w:lineRule="auto" w:before="131"/>
        <w:ind w:left="813" w:right="1174"/>
        <w:jc w:val="left"/>
      </w:pPr>
      <w:r>
        <w:rPr/>
        <w:t>2、衍生品投资情况：□</w:t>
      </w:r>
      <w:r>
        <w:rPr>
          <w:spacing w:val="1"/>
        </w:rPr>
        <w:t> </w:t>
      </w:r>
      <w:r>
        <w:rPr/>
        <w:t>适用</w:t>
        <w:tab/>
        <w:t>√ 不适用</w:t>
      </w:r>
      <w:r>
        <w:rPr>
          <w:spacing w:val="-4"/>
        </w:rPr>
        <w:t> </w:t>
      </w:r>
      <w:r>
        <w:rPr/>
        <w:t>(公司报告期不存在衍生品投资情况)。</w:t>
      </w:r>
      <w:r>
        <w:rPr>
          <w:w w:val="100"/>
        </w:rPr>
        <w:t> </w:t>
      </w:r>
      <w:r>
        <w:rPr/>
        <w:t>(五) 募集资金使用情况： □</w:t>
      </w:r>
      <w:r>
        <w:rPr>
          <w:spacing w:val="-3"/>
        </w:rPr>
        <w:t> </w:t>
      </w:r>
      <w:r>
        <w:rPr/>
        <w:t>适用</w:t>
        <w:tab/>
        <w:t>√ 不适用</w:t>
      </w:r>
      <w:r>
        <w:rPr>
          <w:spacing w:val="-5"/>
        </w:rPr>
        <w:t> </w:t>
      </w:r>
      <w:r>
        <w:rPr/>
        <w:t>(公司报告期无募集资金使用情况)。</w:t>
      </w:r>
      <w:r>
        <w:rPr>
          <w:w w:val="100"/>
        </w:rPr>
        <w:t> </w:t>
      </w:r>
      <w:r>
        <w:rPr/>
        <w:t>五、重大资产和股权出售</w:t>
      </w:r>
    </w:p>
    <w:p>
      <w:pPr>
        <w:pStyle w:val="BodyText"/>
        <w:tabs>
          <w:tab w:pos="3439" w:val="left" w:leader="none"/>
          <w:tab w:pos="4384" w:val="left" w:leader="none"/>
        </w:tabs>
        <w:spacing w:line="408" w:lineRule="auto" w:before="46"/>
        <w:ind w:left="813" w:right="1484"/>
        <w:jc w:val="left"/>
      </w:pPr>
      <w:r>
        <w:rPr/>
        <w:t>(一)</w:t>
      </w:r>
      <w:r>
        <w:rPr>
          <w:spacing w:val="-1"/>
        </w:rPr>
        <w:t> </w:t>
      </w:r>
      <w:r>
        <w:rPr/>
        <w:t>重大资产出售情况：</w:t>
        <w:tab/>
        <w:t>□</w:t>
      </w:r>
      <w:r>
        <w:rPr>
          <w:spacing w:val="1"/>
        </w:rPr>
        <w:t> </w:t>
      </w:r>
      <w:r>
        <w:rPr/>
        <w:t>适用</w:t>
        <w:tab/>
        <w:t>√ 不适用</w:t>
      </w:r>
      <w:r>
        <w:rPr>
          <w:spacing w:val="-3"/>
        </w:rPr>
        <w:t> </w:t>
      </w:r>
      <w:r>
        <w:rPr/>
        <w:t>(公司报告期未出售重大资产)。</w:t>
      </w:r>
      <w:r>
        <w:rPr>
          <w:w w:val="100"/>
        </w:rPr>
        <w:t> </w:t>
      </w:r>
      <w:r>
        <w:rPr/>
        <w:t>(二)</w:t>
      </w:r>
      <w:r>
        <w:rPr>
          <w:spacing w:val="-1"/>
        </w:rPr>
        <w:t> </w:t>
      </w:r>
      <w:r>
        <w:rPr/>
        <w:t>重大股权出售情况：</w:t>
        <w:tab/>
        <w:t>□</w:t>
      </w:r>
      <w:r>
        <w:rPr>
          <w:spacing w:val="1"/>
        </w:rPr>
        <w:t> </w:t>
      </w:r>
      <w:r>
        <w:rPr/>
        <w:t>适用</w:t>
        <w:tab/>
        <w:t>√</w:t>
      </w:r>
      <w:r>
        <w:rPr>
          <w:spacing w:val="-1"/>
        </w:rPr>
        <w:t> </w:t>
      </w:r>
      <w:r>
        <w:rPr/>
        <w:t>不适用</w:t>
      </w:r>
    </w:p>
    <w:p>
      <w:pPr>
        <w:pStyle w:val="BodyText"/>
        <w:spacing w:line="240" w:lineRule="auto" w:before="46"/>
        <w:ind w:left="813" w:right="1174"/>
        <w:jc w:val="left"/>
      </w:pPr>
      <w:r>
        <w:rPr/>
        <w:t>六、主要控股参股公司分析</w:t>
      </w:r>
    </w:p>
    <w:p>
      <w:pPr>
        <w:spacing w:line="240" w:lineRule="auto" w:before="10"/>
        <w:rPr>
          <w:rFonts w:ascii="宋体" w:hAnsi="宋体" w:cs="宋体" w:eastAsia="宋体" w:hint="default"/>
          <w:sz w:val="14"/>
          <w:szCs w:val="14"/>
        </w:rPr>
      </w:pPr>
    </w:p>
    <w:p>
      <w:pPr>
        <w:pStyle w:val="BodyText"/>
        <w:spacing w:line="240" w:lineRule="auto" w:before="0"/>
        <w:ind w:left="813" w:right="1174"/>
        <w:jc w:val="left"/>
      </w:pPr>
      <w:r>
        <w:rPr/>
        <w:t>(一)</w:t>
      </w:r>
      <w:r>
        <w:rPr>
          <w:spacing w:val="-2"/>
        </w:rPr>
        <w:t> </w:t>
      </w:r>
      <w:r>
        <w:rPr/>
        <w:t>本公司没有参股公司，两家全资子公司情况见下表：</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82"/>
        <w:gridCol w:w="710"/>
        <w:gridCol w:w="1416"/>
        <w:gridCol w:w="708"/>
        <w:gridCol w:w="955"/>
        <w:gridCol w:w="965"/>
        <w:gridCol w:w="979"/>
        <w:gridCol w:w="931"/>
        <w:gridCol w:w="991"/>
      </w:tblGrid>
      <w:tr>
        <w:trPr>
          <w:trHeight w:val="71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8" w:right="170"/>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2" w:lineRule="exact" w:before="24"/>
              <w:ind w:left="108" w:right="97" w:firstLine="60"/>
              <w:jc w:val="left"/>
              <w:rPr>
                <w:rFonts w:ascii="宋体" w:hAnsi="宋体" w:cs="宋体" w:eastAsia="宋体" w:hint="default"/>
                <w:sz w:val="18"/>
                <w:szCs w:val="18"/>
              </w:rPr>
            </w:pPr>
            <w:r>
              <w:rPr>
                <w:rFonts w:ascii="宋体" w:hAnsi="宋体" w:cs="宋体" w:eastAsia="宋体" w:hint="default"/>
                <w:sz w:val="18"/>
                <w:szCs w:val="18"/>
              </w:rPr>
              <w:t>资本 </w:t>
            </w:r>
            <w:r>
              <w:rPr>
                <w:rFonts w:ascii="宋体" w:hAnsi="宋体" w:cs="宋体" w:eastAsia="宋体" w:hint="default"/>
                <w:spacing w:val="-13"/>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01" w:right="200"/>
              <w:jc w:val="left"/>
              <w:rPr>
                <w:rFonts w:ascii="宋体" w:hAnsi="宋体" w:cs="宋体" w:eastAsia="宋体" w:hint="default"/>
                <w:sz w:val="18"/>
                <w:szCs w:val="18"/>
              </w:rPr>
            </w:pPr>
            <w:r>
              <w:rPr>
                <w:rFonts w:ascii="宋体" w:hAnsi="宋体" w:cs="宋体" w:eastAsia="宋体" w:hint="default"/>
                <w:sz w:val="18"/>
                <w:szCs w:val="18"/>
              </w:rPr>
              <w:t>总资产 (万元)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06" w:right="205"/>
              <w:jc w:val="left"/>
              <w:rPr>
                <w:rFonts w:ascii="宋体" w:hAnsi="宋体" w:cs="宋体" w:eastAsia="宋体" w:hint="default"/>
                <w:sz w:val="18"/>
                <w:szCs w:val="18"/>
              </w:rPr>
            </w:pPr>
            <w:r>
              <w:rPr>
                <w:rFonts w:ascii="宋体" w:hAnsi="宋体" w:cs="宋体" w:eastAsia="宋体" w:hint="default"/>
                <w:sz w:val="18"/>
                <w:szCs w:val="18"/>
              </w:rPr>
              <w:t>净资产 (万元)</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0"/>
                <w:sz w:val="18"/>
                <w:szCs w:val="18"/>
              </w:rPr>
              <w:t>营业收入</w:t>
            </w:r>
            <w:r>
              <w:rPr>
                <w:rFonts w:ascii="宋体" w:hAnsi="宋体" w:cs="宋体" w:eastAsia="宋体" w:hint="default"/>
                <w:sz w:val="18"/>
                <w:szCs w:val="18"/>
              </w:rPr>
              <w:t> (万元)</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 业</w:t>
            </w:r>
            <w:r>
              <w:rPr>
                <w:rFonts w:ascii="宋体" w:hAnsi="宋体" w:cs="宋体" w:eastAsia="宋体" w:hint="default"/>
                <w:spacing w:val="-8"/>
                <w:sz w:val="18"/>
                <w:szCs w:val="18"/>
              </w:rPr>
              <w:t> </w:t>
            </w:r>
            <w:r>
              <w:rPr>
                <w:rFonts w:ascii="宋体" w:hAnsi="宋体" w:cs="宋体" w:eastAsia="宋体" w:hint="default"/>
                <w:sz w:val="18"/>
                <w:szCs w:val="18"/>
              </w:rPr>
              <w:t>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 (</w:t>
            </w:r>
            <w:r>
              <w:rPr>
                <w:rFonts w:ascii="宋体" w:hAnsi="宋体" w:cs="宋体" w:eastAsia="宋体" w:hint="default"/>
                <w:spacing w:val="84"/>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1" w:right="217"/>
              <w:jc w:val="left"/>
              <w:rPr>
                <w:rFonts w:ascii="宋体" w:hAnsi="宋体" w:cs="宋体" w:eastAsia="宋体" w:hint="default"/>
                <w:sz w:val="18"/>
                <w:szCs w:val="18"/>
              </w:rPr>
            </w:pPr>
            <w:r>
              <w:rPr>
                <w:rFonts w:ascii="宋体" w:hAnsi="宋体" w:cs="宋体" w:eastAsia="宋体" w:hint="default"/>
                <w:sz w:val="18"/>
                <w:szCs w:val="18"/>
              </w:rPr>
              <w:t>净利润 (万元)</w:t>
            </w:r>
          </w:p>
        </w:tc>
      </w:tr>
      <w:tr>
        <w:trPr>
          <w:trHeight w:val="47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北京创世漫道科技有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68" w:right="170"/>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发送短信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8"/>
              <w:jc w:val="right"/>
              <w:rPr>
                <w:rFonts w:ascii="Calibri" w:hAnsi="Calibri" w:cs="Calibri" w:eastAsia="Calibri" w:hint="default"/>
                <w:sz w:val="18"/>
                <w:szCs w:val="18"/>
              </w:rPr>
            </w:pPr>
            <w:r>
              <w:rPr>
                <w:rFonts w:ascii="Calibri"/>
                <w:sz w:val="18"/>
              </w:rPr>
              <w:t>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9"/>
              <w:jc w:val="right"/>
              <w:rPr>
                <w:rFonts w:ascii="Calibri" w:hAnsi="Calibri" w:cs="Calibri" w:eastAsia="Calibri" w:hint="default"/>
                <w:sz w:val="18"/>
                <w:szCs w:val="18"/>
              </w:rPr>
            </w:pPr>
            <w:r>
              <w:rPr>
                <w:rFonts w:ascii="Calibri"/>
                <w:sz w:val="18"/>
              </w:rPr>
              <w:t>56,484.69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8"/>
              <w:jc w:val="right"/>
              <w:rPr>
                <w:rFonts w:ascii="Calibri" w:hAnsi="Calibri" w:cs="Calibri" w:eastAsia="Calibri" w:hint="default"/>
                <w:sz w:val="18"/>
                <w:szCs w:val="18"/>
              </w:rPr>
            </w:pPr>
            <w:r>
              <w:rPr>
                <w:rFonts w:ascii="Calibri"/>
                <w:spacing w:val="-1"/>
                <w:sz w:val="18"/>
              </w:rPr>
              <w:t>41,183.78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6"/>
              <w:jc w:val="right"/>
              <w:rPr>
                <w:rFonts w:ascii="Calibri" w:hAnsi="Calibri" w:cs="Calibri" w:eastAsia="Calibri" w:hint="default"/>
                <w:sz w:val="18"/>
                <w:szCs w:val="18"/>
              </w:rPr>
            </w:pPr>
            <w:r>
              <w:rPr>
                <w:rFonts w:ascii="Calibri"/>
                <w:spacing w:val="-1"/>
                <w:sz w:val="18"/>
              </w:rPr>
              <w:t>70,312.27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8"/>
              <w:jc w:val="right"/>
              <w:rPr>
                <w:rFonts w:ascii="Calibri" w:hAnsi="Calibri" w:cs="Calibri" w:eastAsia="Calibri" w:hint="default"/>
                <w:sz w:val="18"/>
                <w:szCs w:val="18"/>
              </w:rPr>
            </w:pPr>
            <w:r>
              <w:rPr>
                <w:rFonts w:ascii="Calibri"/>
                <w:spacing w:val="-1"/>
                <w:sz w:val="18"/>
              </w:rPr>
              <w:t>13,357.09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36"/>
              <w:jc w:val="right"/>
              <w:rPr>
                <w:rFonts w:ascii="Calibri" w:hAnsi="Calibri" w:cs="Calibri" w:eastAsia="Calibri" w:hint="default"/>
                <w:sz w:val="18"/>
                <w:szCs w:val="18"/>
              </w:rPr>
            </w:pPr>
            <w:r>
              <w:rPr>
                <w:rFonts w:ascii="Calibri"/>
                <w:sz w:val="18"/>
              </w:rPr>
              <w:t>12,125.61</w:t>
            </w:r>
          </w:p>
        </w:tc>
      </w:tr>
      <w:tr>
        <w:trPr>
          <w:trHeight w:val="47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广东长实通信科技有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1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通信网络维护</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Calibri" w:hAnsi="Calibri" w:cs="Calibri" w:eastAsia="Calibri" w:hint="default"/>
                <w:sz w:val="18"/>
                <w:szCs w:val="18"/>
              </w:rPr>
            </w:pPr>
            <w:r>
              <w:rPr>
                <w:rFonts w:ascii="Calibri"/>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6"/>
              <w:jc w:val="right"/>
              <w:rPr>
                <w:rFonts w:ascii="Calibri" w:hAnsi="Calibri" w:cs="Calibri" w:eastAsia="Calibri" w:hint="default"/>
                <w:sz w:val="18"/>
                <w:szCs w:val="18"/>
              </w:rPr>
            </w:pPr>
            <w:r>
              <w:rPr>
                <w:rFonts w:ascii="Calibri"/>
                <w:spacing w:val="-1"/>
                <w:sz w:val="18"/>
              </w:rPr>
              <w:t>85,572.55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
              <w:jc w:val="right"/>
              <w:rPr>
                <w:rFonts w:ascii="Calibri" w:hAnsi="Calibri" w:cs="Calibri" w:eastAsia="Calibri" w:hint="default"/>
                <w:sz w:val="18"/>
                <w:szCs w:val="18"/>
              </w:rPr>
            </w:pPr>
            <w:r>
              <w:rPr>
                <w:rFonts w:ascii="Calibri"/>
                <w:spacing w:val="-1"/>
                <w:sz w:val="18"/>
              </w:rPr>
              <w:t>45,032.07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4"/>
              <w:jc w:val="right"/>
              <w:rPr>
                <w:rFonts w:ascii="Calibri" w:hAnsi="Calibri" w:cs="Calibri" w:eastAsia="Calibri" w:hint="default"/>
                <w:sz w:val="18"/>
                <w:szCs w:val="18"/>
              </w:rPr>
            </w:pPr>
            <w:r>
              <w:rPr>
                <w:rFonts w:ascii="Calibri"/>
                <w:sz w:val="18"/>
              </w:rPr>
              <w:t>140,426.24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6"/>
              <w:jc w:val="right"/>
              <w:rPr>
                <w:rFonts w:ascii="Calibri" w:hAnsi="Calibri" w:cs="Calibri" w:eastAsia="Calibri" w:hint="default"/>
                <w:sz w:val="18"/>
                <w:szCs w:val="18"/>
              </w:rPr>
            </w:pPr>
            <w:r>
              <w:rPr>
                <w:rFonts w:ascii="Calibri"/>
                <w:sz w:val="18"/>
              </w:rPr>
              <w:t>13,653.95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6"/>
              <w:jc w:val="right"/>
              <w:rPr>
                <w:rFonts w:ascii="Calibri" w:hAnsi="Calibri" w:cs="Calibri" w:eastAsia="Calibri" w:hint="default"/>
                <w:sz w:val="18"/>
                <w:szCs w:val="18"/>
              </w:rPr>
            </w:pPr>
            <w:r>
              <w:rPr>
                <w:rFonts w:ascii="Calibri"/>
                <w:sz w:val="18"/>
              </w:rPr>
              <w:t>11,989.99</w:t>
            </w:r>
          </w:p>
        </w:tc>
      </w:tr>
    </w:tbl>
    <w:p>
      <w:pPr>
        <w:pStyle w:val="BodyText"/>
        <w:spacing w:line="544" w:lineRule="auto" w:before="50"/>
        <w:ind w:left="813" w:right="5568"/>
        <w:jc w:val="left"/>
      </w:pPr>
      <w:r>
        <w:rPr/>
        <w:pict>
          <v:shape style="position:absolute;margin-left:59.279999pt;margin-top:51.48394pt;width:482.65pt;height:150.2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702"/>
                    <w:gridCol w:w="5527"/>
                  </w:tblGrid>
                  <w:tr>
                    <w:trPr>
                      <w:trHeight w:val="57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98"/>
                          <w:jc w:val="left"/>
                          <w:rPr>
                            <w:rFonts w:ascii="宋体" w:hAnsi="宋体" w:cs="宋体" w:eastAsia="宋体" w:hint="default"/>
                            <w:sz w:val="18"/>
                            <w:szCs w:val="18"/>
                          </w:rPr>
                        </w:pPr>
                        <w:r>
                          <w:rPr>
                            <w:rFonts w:ascii="宋体" w:hAnsi="宋体" w:cs="宋体" w:eastAsia="宋体" w:hint="default"/>
                            <w:spacing w:val="5"/>
                            <w:sz w:val="18"/>
                            <w:szCs w:val="18"/>
                          </w:rPr>
                          <w:t>报告期内取得和处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置子公司方式</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56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新疆漫道通信科技有限公司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98"/>
                          <w:jc w:val="left"/>
                          <w:rPr>
                            <w:rFonts w:ascii="宋体" w:hAnsi="宋体" w:cs="宋体" w:eastAsia="宋体" w:hint="default"/>
                            <w:sz w:val="18"/>
                            <w:szCs w:val="18"/>
                          </w:rPr>
                        </w:pPr>
                        <w:r>
                          <w:rPr>
                            <w:rFonts w:ascii="宋体" w:hAnsi="宋体" w:cs="宋体" w:eastAsia="宋体" w:hint="default"/>
                            <w:spacing w:val="5"/>
                            <w:sz w:val="18"/>
                            <w:szCs w:val="18"/>
                          </w:rPr>
                          <w:t>创世漫道自有资金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注册成立</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主营信息传输，报告期增加公司净利润(合并口径)415.12</w:t>
                        </w:r>
                        <w:r>
                          <w:rPr>
                            <w:rFonts w:ascii="宋体" w:hAnsi="宋体" w:cs="宋体" w:eastAsia="宋体" w:hint="default"/>
                            <w:spacing w:val="-47"/>
                            <w:sz w:val="18"/>
                            <w:szCs w:val="18"/>
                          </w:rPr>
                          <w:t> </w:t>
                        </w:r>
                        <w:r>
                          <w:rPr>
                            <w:rFonts w:ascii="宋体" w:hAnsi="宋体" w:cs="宋体" w:eastAsia="宋体" w:hint="default"/>
                            <w:sz w:val="18"/>
                            <w:szCs w:val="18"/>
                          </w:rPr>
                          <w:t>万元。</w:t>
                        </w:r>
                      </w:p>
                    </w:tc>
                  </w:tr>
                  <w:tr>
                    <w:trPr>
                      <w:trHeight w:val="57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新疆长实通信科技有限公司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98"/>
                          <w:jc w:val="left"/>
                          <w:rPr>
                            <w:rFonts w:ascii="宋体" w:hAnsi="宋体" w:cs="宋体" w:eastAsia="宋体" w:hint="default"/>
                            <w:sz w:val="18"/>
                            <w:szCs w:val="18"/>
                          </w:rPr>
                        </w:pPr>
                        <w:r>
                          <w:rPr>
                            <w:rFonts w:ascii="宋体" w:hAnsi="宋体" w:cs="宋体" w:eastAsia="宋体" w:hint="default"/>
                            <w:spacing w:val="5"/>
                            <w:sz w:val="18"/>
                            <w:szCs w:val="18"/>
                          </w:rPr>
                          <w:t>长实通信自有资金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注册成立</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主营通信网络维护，报告期未开展业务，亏(合并口径)</w:t>
                        </w:r>
                        <w:r>
                          <w:rPr>
                            <w:rFonts w:ascii="宋体" w:hAnsi="宋体" w:cs="宋体" w:eastAsia="宋体" w:hint="default"/>
                            <w:spacing w:val="-43"/>
                            <w:sz w:val="18"/>
                            <w:szCs w:val="18"/>
                          </w:rPr>
                          <w:t> </w:t>
                        </w:r>
                        <w:r>
                          <w:rPr>
                            <w:rFonts w:ascii="宋体" w:hAnsi="宋体" w:cs="宋体" w:eastAsia="宋体" w:hint="default"/>
                            <w:sz w:val="18"/>
                            <w:szCs w:val="18"/>
                          </w:rPr>
                          <w:t>-0.06</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56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pacing w:val="2"/>
                            <w:sz w:val="18"/>
                            <w:szCs w:val="18"/>
                          </w:rPr>
                          <w:t>霍尔果斯长实云谷信息科技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98"/>
                          <w:jc w:val="left"/>
                          <w:rPr>
                            <w:rFonts w:ascii="宋体" w:hAnsi="宋体" w:cs="宋体" w:eastAsia="宋体" w:hint="default"/>
                            <w:sz w:val="18"/>
                            <w:szCs w:val="18"/>
                          </w:rPr>
                        </w:pPr>
                        <w:r>
                          <w:rPr>
                            <w:rFonts w:ascii="宋体" w:hAnsi="宋体" w:cs="宋体" w:eastAsia="宋体" w:hint="default"/>
                            <w:spacing w:val="5"/>
                            <w:sz w:val="18"/>
                            <w:szCs w:val="18"/>
                          </w:rPr>
                          <w:t>长实通信自有资金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注册成立</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z w:val="18"/>
                            <w:szCs w:val="18"/>
                          </w:rPr>
                          <w:t>开展</w:t>
                        </w:r>
                        <w:r>
                          <w:rPr>
                            <w:rFonts w:ascii="宋体" w:hAnsi="宋体" w:cs="宋体" w:eastAsia="宋体" w:hint="default"/>
                            <w:spacing w:val="-40"/>
                            <w:sz w:val="18"/>
                            <w:szCs w:val="18"/>
                          </w:rPr>
                          <w:t> </w:t>
                        </w:r>
                        <w:r>
                          <w:rPr>
                            <w:rFonts w:ascii="宋体" w:hAnsi="宋体" w:cs="宋体" w:eastAsia="宋体" w:hint="default"/>
                            <w:sz w:val="18"/>
                            <w:szCs w:val="18"/>
                          </w:rPr>
                          <w:t>IDC</w:t>
                        </w:r>
                        <w:r>
                          <w:rPr>
                            <w:rFonts w:ascii="宋体" w:hAnsi="宋体" w:cs="宋体" w:eastAsia="宋体" w:hint="default"/>
                            <w:spacing w:val="-40"/>
                            <w:sz w:val="18"/>
                            <w:szCs w:val="18"/>
                          </w:rPr>
                          <w:t> </w:t>
                        </w:r>
                        <w:r>
                          <w:rPr>
                            <w:rFonts w:ascii="宋体" w:hAnsi="宋体" w:cs="宋体" w:eastAsia="宋体" w:hint="default"/>
                            <w:spacing w:val="-4"/>
                            <w:sz w:val="18"/>
                            <w:szCs w:val="18"/>
                          </w:rPr>
                          <w:t>机房建设，面向企事业单位提供云计算服务器的托管及综合</w:t>
                        </w:r>
                        <w:r>
                          <w:rPr>
                            <w:rFonts w:ascii="宋体" w:hAnsi="宋体" w:cs="宋体" w:eastAsia="宋体" w:hint="default"/>
                            <w:sz w:val="18"/>
                            <w:szCs w:val="18"/>
                          </w:rPr>
                          <w:t> 维护服务，是长实通信主业的延伸，报告期未开展业务没有损益。</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2"/>
                            <w:sz w:val="18"/>
                            <w:szCs w:val="18"/>
                          </w:rPr>
                          <w:t>新丝路融资租赁(深圳)有限</w:t>
                        </w:r>
                        <w:r>
                          <w:rPr>
                            <w:rFonts w:ascii="宋体" w:hAnsi="宋体" w:cs="宋体" w:eastAsia="宋体" w:hint="default"/>
                            <w:sz w:val="18"/>
                            <w:szCs w:val="18"/>
                          </w:rPr>
                          <w:t> 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长实通信 1</w:t>
                        </w:r>
                        <w:r>
                          <w:rPr>
                            <w:rFonts w:ascii="宋体" w:hAnsi="宋体" w:cs="宋体" w:eastAsia="宋体" w:hint="default"/>
                            <w:spacing w:val="-45"/>
                            <w:sz w:val="18"/>
                            <w:szCs w:val="18"/>
                          </w:rPr>
                          <w:t> </w:t>
                        </w:r>
                        <w:r>
                          <w:rPr>
                            <w:rFonts w:ascii="宋体" w:hAnsi="宋体" w:cs="宋体" w:eastAsia="宋体" w:hint="default"/>
                            <w:sz w:val="18"/>
                            <w:szCs w:val="18"/>
                          </w:rPr>
                          <w:t>元收购</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4"/>
                            <w:sz w:val="18"/>
                            <w:szCs w:val="18"/>
                          </w:rPr>
                          <w:t>75%股权(期末尚未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注资)</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z w:val="18"/>
                            <w:szCs w:val="18"/>
                          </w:rPr>
                          <w:t>开展</w:t>
                        </w:r>
                        <w:r>
                          <w:rPr>
                            <w:rFonts w:ascii="宋体" w:hAnsi="宋体" w:cs="宋体" w:eastAsia="宋体" w:hint="default"/>
                            <w:spacing w:val="-41"/>
                            <w:sz w:val="18"/>
                            <w:szCs w:val="18"/>
                          </w:rPr>
                          <w:t> </w:t>
                        </w:r>
                        <w:r>
                          <w:rPr>
                            <w:rFonts w:ascii="宋体" w:hAnsi="宋体" w:cs="宋体" w:eastAsia="宋体" w:hint="default"/>
                            <w:sz w:val="18"/>
                            <w:szCs w:val="18"/>
                          </w:rPr>
                          <w:t>IDC</w:t>
                        </w:r>
                        <w:r>
                          <w:rPr>
                            <w:rFonts w:ascii="宋体" w:hAnsi="宋体" w:cs="宋体" w:eastAsia="宋体" w:hint="default"/>
                            <w:spacing w:val="-41"/>
                            <w:sz w:val="18"/>
                            <w:szCs w:val="18"/>
                          </w:rPr>
                          <w:t> </w:t>
                        </w:r>
                        <w:r>
                          <w:rPr>
                            <w:rFonts w:ascii="宋体" w:hAnsi="宋体" w:cs="宋体" w:eastAsia="宋体" w:hint="default"/>
                            <w:spacing w:val="-4"/>
                            <w:sz w:val="18"/>
                            <w:szCs w:val="18"/>
                          </w:rPr>
                          <w:t>机房设备的融资租赁业务，延伸长实通信主业。报告期业务</w:t>
                        </w:r>
                        <w:r>
                          <w:rPr>
                            <w:rFonts w:ascii="宋体" w:hAnsi="宋体" w:cs="宋体" w:eastAsia="宋体" w:hint="default"/>
                            <w:sz w:val="18"/>
                            <w:szCs w:val="18"/>
                          </w:rPr>
                          <w:t> 未实施，亏(合并口径)-35.98</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
              </w:txbxContent>
            </v:textbox>
            <w10:wrap type="none"/>
          </v:shape>
        </w:pict>
      </w:r>
      <w:r>
        <w:rPr/>
        <w:t>注：上表中净利润为合并口径数。</w:t>
      </w:r>
      <w:r>
        <w:rPr>
          <w:w w:val="100"/>
        </w:rPr>
        <w:t> </w:t>
      </w:r>
      <w:r>
        <w:rPr/>
        <w:t>(二)</w:t>
      </w:r>
      <w:r>
        <w:rPr>
          <w:spacing w:val="-1"/>
        </w:rPr>
        <w:t> </w:t>
      </w:r>
      <w:r>
        <w:rPr/>
        <w:t>报告期内取得和处置子公司情况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73" w:lineRule="auto" w:before="36"/>
        <w:ind w:left="813" w:right="445"/>
        <w:jc w:val="left"/>
      </w:pPr>
      <w:r>
        <w:rPr/>
        <w:t>(三)</w:t>
      </w:r>
      <w:r>
        <w:rPr>
          <w:spacing w:val="-2"/>
        </w:rPr>
        <w:t> </w:t>
      </w:r>
      <w:r>
        <w:rPr/>
        <w:t>主要控股参股公司经营情况</w:t>
      </w:r>
      <w:r>
        <w:rPr>
          <w:w w:val="100"/>
        </w:rPr>
        <w:t> </w:t>
      </w:r>
      <w:r>
        <w:rPr/>
        <w:t>全资子公司创世漫道因主业信息传输营收有所增长同比增加盈利</w:t>
      </w:r>
      <w:r>
        <w:rPr>
          <w:spacing w:val="-49"/>
        </w:rPr>
        <w:t> </w:t>
      </w:r>
      <w:r>
        <w:rPr/>
        <w:t>1,083.99</w:t>
      </w:r>
      <w:r>
        <w:rPr>
          <w:spacing w:val="-52"/>
        </w:rPr>
        <w:t> </w:t>
      </w:r>
      <w:r>
        <w:rPr>
          <w:spacing w:val="-3"/>
        </w:rPr>
        <w:t>万元（短信毛利+业</w:t>
      </w:r>
    </w:p>
    <w:p>
      <w:pPr>
        <w:pStyle w:val="BodyText"/>
        <w:spacing w:line="273" w:lineRule="auto" w:before="8"/>
        <w:ind w:left="393" w:right="342"/>
        <w:jc w:val="left"/>
      </w:pPr>
      <w:r>
        <w:rPr>
          <w:spacing w:val="-11"/>
          <w:w w:val="100"/>
        </w:rPr>
        <w:t>务酬金），辅业软件开发及应用较快增长同比增加盈利</w:t>
      </w:r>
      <w:r>
        <w:rPr>
          <w:spacing w:val="-73"/>
          <w:w w:val="100"/>
        </w:rPr>
        <w:t> </w:t>
      </w:r>
      <w:r>
        <w:rPr>
          <w:spacing w:val="-1"/>
          <w:w w:val="100"/>
        </w:rPr>
        <w:t>1,323.58</w:t>
      </w:r>
      <w:r>
        <w:rPr>
          <w:spacing w:val="-73"/>
          <w:w w:val="100"/>
        </w:rPr>
        <w:t> </w:t>
      </w:r>
      <w:r>
        <w:rPr>
          <w:spacing w:val="-10"/>
          <w:w w:val="100"/>
        </w:rPr>
        <w:t>万元，资产减值损失同比减少</w:t>
      </w:r>
      <w:r>
        <w:rPr>
          <w:spacing w:val="-73"/>
          <w:w w:val="100"/>
        </w:rPr>
        <w:t> </w:t>
      </w:r>
      <w:r>
        <w:rPr>
          <w:spacing w:val="-1"/>
          <w:w w:val="100"/>
        </w:rPr>
        <w:t>670.14</w:t>
      </w:r>
      <w:r>
        <w:rPr>
          <w:spacing w:val="-85"/>
          <w:w w:val="100"/>
        </w:rPr>
        <w:t> </w:t>
      </w:r>
      <w:r>
        <w:rPr>
          <w:spacing w:val="-85"/>
          <w:w w:val="100"/>
        </w:rPr>
      </w:r>
      <w:r>
        <w:rPr>
          <w:spacing w:val="-6"/>
        </w:rPr>
        <w:t>万元，报告期实现净利润同比增幅</w:t>
      </w:r>
      <w:r>
        <w:rPr>
          <w:spacing w:val="-25"/>
        </w:rPr>
        <w:t> </w:t>
      </w:r>
      <w:r>
        <w:rPr>
          <w:spacing w:val="-4"/>
        </w:rPr>
        <w:t>36.01%；全资子公司长实通信报告期实现净利润同比增幅</w:t>
      </w:r>
      <w:r>
        <w:rPr>
          <w:spacing w:val="-25"/>
        </w:rPr>
        <w:t> </w:t>
      </w:r>
      <w:r>
        <w:rPr/>
        <w:t>9.61%，</w:t>
      </w:r>
      <w:r>
        <w:rPr>
          <w:spacing w:val="-93"/>
        </w:rPr>
        <w:t> </w:t>
      </w:r>
      <w:r>
        <w:rPr>
          <w:spacing w:val="-93"/>
        </w:rPr>
      </w:r>
      <w:r>
        <w:rPr>
          <w:spacing w:val="-4"/>
          <w:w w:val="100"/>
        </w:rPr>
        <w:t>均保持增长。经营情况可阅读本年报本章第一节“概述”、第三节“三、经营计划”的相关内容。</w:t>
      </w:r>
    </w:p>
    <w:p>
      <w:pPr>
        <w:pStyle w:val="BodyText"/>
        <w:spacing w:line="273" w:lineRule="auto"/>
        <w:ind w:left="393" w:right="347" w:firstLine="420"/>
        <w:jc w:val="both"/>
      </w:pPr>
      <w:r>
        <w:rPr>
          <w:spacing w:val="2"/>
        </w:rPr>
        <w:t>因本期信息传输业务采用后付费方式的大客户增加和付费时间较长的软件开发及应用业务较</w:t>
      </w:r>
      <w:r>
        <w:rPr>
          <w:w w:val="100"/>
        </w:rPr>
        <w:t> </w:t>
      </w:r>
      <w:r>
        <w:rPr/>
        <w:t>快增长，创世漫道应收账款同比增加</w:t>
      </w:r>
      <w:r>
        <w:rPr>
          <w:spacing w:val="-43"/>
        </w:rPr>
        <w:t> </w:t>
      </w:r>
      <w:r>
        <w:rPr/>
        <w:t>7,052.52</w:t>
      </w:r>
      <w:r>
        <w:rPr>
          <w:spacing w:val="-43"/>
        </w:rPr>
        <w:t> </w:t>
      </w:r>
      <w:r>
        <w:rPr/>
        <w:t>万元增幅</w:t>
      </w:r>
      <w:r>
        <w:rPr>
          <w:spacing w:val="-43"/>
        </w:rPr>
        <w:t> </w:t>
      </w:r>
      <w:r>
        <w:rPr/>
        <w:t>44.53%；因本期大幅增长的流量经营预付</w:t>
      </w:r>
      <w:r>
        <w:rPr>
          <w:w w:val="100"/>
        </w:rPr>
        <w:t> </w:t>
      </w:r>
      <w:r>
        <w:rPr>
          <w:spacing w:val="-2"/>
        </w:rPr>
        <w:t>款，创世漫道预付款项同比增加</w:t>
      </w:r>
      <w:r>
        <w:rPr/>
        <w:t> </w:t>
      </w:r>
      <w:r>
        <w:rPr>
          <w:spacing w:val="-1"/>
        </w:rPr>
        <w:t>2,594.44</w:t>
      </w:r>
      <w:r>
        <w:rPr>
          <w:spacing w:val="-47"/>
        </w:rPr>
        <w:t> </w:t>
      </w:r>
      <w:r>
        <w:rPr>
          <w:spacing w:val="-2"/>
        </w:rPr>
        <w:t>万元；上述财务指标变化对将来业绩不会造成负面影响。</w:t>
      </w:r>
    </w:p>
    <w:p>
      <w:pPr>
        <w:pStyle w:val="BodyText"/>
        <w:spacing w:line="273" w:lineRule="auto"/>
        <w:ind w:left="393" w:right="443" w:firstLine="420"/>
        <w:jc w:val="left"/>
      </w:pPr>
      <w:r>
        <w:rPr/>
        <w:t>因本期铁塔公司业务增长，客户合同结算期延长，长实通信应收账款同比增加</w:t>
      </w:r>
      <w:r>
        <w:rPr>
          <w:spacing w:val="-63"/>
        </w:rPr>
        <w:t> </w:t>
      </w:r>
      <w:r>
        <w:rPr/>
        <w:t>13,441.99</w:t>
      </w:r>
      <w:r>
        <w:rPr>
          <w:spacing w:val="-63"/>
        </w:rPr>
        <w:t> </w:t>
      </w:r>
      <w:r>
        <w:rPr/>
        <w:t>万元</w:t>
      </w:r>
      <w:r>
        <w:rPr>
          <w:w w:val="100"/>
        </w:rPr>
        <w:t> </w:t>
      </w:r>
      <w:r>
        <w:rPr/>
        <w:t>增幅</w:t>
      </w:r>
      <w:r>
        <w:rPr>
          <w:spacing w:val="-56"/>
        </w:rPr>
        <w:t> </w:t>
      </w:r>
      <w:r>
        <w:rPr/>
        <w:t>39.32%，对将来业绩不会造成负面影响。</w:t>
      </w:r>
    </w:p>
    <w:p>
      <w:pPr>
        <w:pStyle w:val="BodyText"/>
        <w:tabs>
          <w:tab w:pos="4910" w:val="left" w:leader="none"/>
        </w:tabs>
        <w:spacing w:line="240" w:lineRule="auto" w:before="163"/>
        <w:ind w:left="813" w:right="1174"/>
        <w:jc w:val="left"/>
      </w:pPr>
      <w:r>
        <w:rPr/>
        <w:t>七、公司控制的结构化主体情况：□</w:t>
      </w:r>
      <w:r>
        <w:rPr>
          <w:spacing w:val="-2"/>
        </w:rPr>
        <w:t> </w:t>
      </w:r>
      <w:r>
        <w:rPr/>
        <w:t>适用</w:t>
        <w:tab/>
        <w:t>√</w:t>
      </w:r>
      <w:r>
        <w:rPr>
          <w:spacing w:val="3"/>
        </w:rPr>
        <w:t> </w:t>
      </w:r>
      <w:r>
        <w:rPr/>
        <w:t>不适用。</w:t>
      </w:r>
    </w:p>
    <w:p>
      <w:pPr>
        <w:spacing w:line="240" w:lineRule="auto" w:before="9"/>
        <w:rPr>
          <w:rFonts w:ascii="宋体" w:hAnsi="宋体" w:cs="宋体" w:eastAsia="宋体" w:hint="default"/>
          <w:sz w:val="26"/>
          <w:szCs w:val="26"/>
        </w:rPr>
      </w:pPr>
    </w:p>
    <w:p>
      <w:pPr>
        <w:tabs>
          <w:tab w:pos="844" w:val="left" w:leader="none"/>
        </w:tabs>
        <w:spacing w:before="0"/>
        <w:ind w:left="0" w:right="61" w:firstLine="0"/>
        <w:jc w:val="center"/>
        <w:rPr>
          <w:rFonts w:ascii="宋体" w:hAnsi="宋体" w:cs="宋体" w:eastAsia="宋体" w:hint="default"/>
          <w:sz w:val="21"/>
          <w:szCs w:val="21"/>
        </w:rPr>
      </w:pPr>
      <w:r>
        <w:rPr>
          <w:rFonts w:ascii="宋体" w:hAnsi="宋体" w:cs="宋体" w:eastAsia="宋体" w:hint="default"/>
          <w:b/>
          <w:bCs/>
          <w:sz w:val="21"/>
          <w:szCs w:val="21"/>
        </w:rPr>
        <w:t>第三节</w:t>
        <w:tab/>
        <w:t>公司未来发展的展望</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before="0"/>
        <w:ind w:left="813" w:right="1174"/>
        <w:jc w:val="left"/>
      </w:pPr>
      <w:r>
        <w:rPr/>
        <w:t>一、行业格局和趋势</w:t>
      </w:r>
    </w:p>
    <w:p>
      <w:pPr>
        <w:spacing w:after="0" w:line="240" w:lineRule="auto"/>
        <w:jc w:val="left"/>
        <w:sectPr>
          <w:pgSz w:w="11910" w:h="16840"/>
          <w:pgMar w:header="884" w:footer="1000" w:top="1140" w:bottom="1200" w:left="1080" w:right="960"/>
        </w:sectPr>
      </w:pPr>
    </w:p>
    <w:p>
      <w:pPr>
        <w:pStyle w:val="BodyText"/>
        <w:spacing w:line="273" w:lineRule="auto" w:before="131"/>
        <w:ind w:left="393" w:right="342" w:firstLine="420"/>
        <w:jc w:val="left"/>
      </w:pPr>
      <w:r>
        <w:rPr>
          <w:spacing w:val="-5"/>
        </w:rPr>
        <w:t>在国家实施网络强国战略和创新驱动发展战略的引导下，在国家调结构、转方式的政策支持下，</w:t>
      </w:r>
      <w:r>
        <w:rPr>
          <w:w w:val="100"/>
        </w:rPr>
        <w:t> </w:t>
      </w:r>
      <w:r>
        <w:rPr/>
        <w:t>在加快发展移动互联网等新型业务趋势中，公司主营业务保持增长具有的市场空间、宏观政策和行</w:t>
      </w:r>
      <w:r>
        <w:rPr>
          <w:w w:val="100"/>
        </w:rPr>
        <w:t> </w:t>
      </w:r>
      <w:r>
        <w:rPr/>
        <w:t>业环境良好。</w:t>
      </w:r>
    </w:p>
    <w:p>
      <w:pPr>
        <w:pStyle w:val="BodyText"/>
        <w:spacing w:line="273" w:lineRule="auto" w:before="164"/>
        <w:ind w:left="813" w:right="342"/>
        <w:jc w:val="left"/>
      </w:pPr>
      <w:r>
        <w:rPr/>
        <w:t>(一)</w:t>
      </w:r>
      <w:r>
        <w:rPr>
          <w:spacing w:val="-2"/>
        </w:rPr>
        <w:t> </w:t>
      </w:r>
      <w:r>
        <w:rPr/>
        <w:t>移动信息智能传输服务的行业格局和趋势</w:t>
      </w:r>
      <w:r>
        <w:rPr>
          <w:w w:val="100"/>
        </w:rPr>
        <w:t> </w:t>
      </w:r>
      <w:r>
        <w:rPr>
          <w:spacing w:val="-2"/>
        </w:rPr>
        <w:t>公司移动信息智能传输服务以为企业及事业单位、政府机构等客户指定的用户发送有真实需求</w:t>
      </w:r>
    </w:p>
    <w:p>
      <w:pPr>
        <w:pStyle w:val="BodyText"/>
        <w:spacing w:line="326" w:lineRule="auto"/>
        <w:ind w:left="813" w:right="342" w:hanging="421"/>
        <w:jc w:val="left"/>
      </w:pPr>
      <w:r>
        <w:rPr/>
        <w:t>的、触发类短信服务为主，不分地域，由全资子公司创世漫道主营。</w:t>
      </w:r>
      <w:r>
        <w:rPr>
          <w:w w:val="100"/>
        </w:rPr>
        <w:t> </w:t>
      </w:r>
      <w:r>
        <w:rPr/>
        <w:t>1、信息传输业务增长与宏观政策支持、行业发展趋势相吻合。创世漫道营收来自三部分，其</w:t>
      </w:r>
    </w:p>
    <w:p>
      <w:pPr>
        <w:pStyle w:val="BodyText"/>
        <w:spacing w:line="236" w:lineRule="exact" w:before="0"/>
        <w:ind w:left="393" w:right="0"/>
        <w:jc w:val="both"/>
      </w:pPr>
      <w:r>
        <w:rPr/>
        <w:t>中信息传输占比</w:t>
      </w:r>
      <w:r>
        <w:rPr>
          <w:spacing w:val="-56"/>
        </w:rPr>
        <w:t> </w:t>
      </w:r>
      <w:r>
        <w:rPr/>
        <w:t>76.53%、移动互联网软件开发及应用服务占比</w:t>
      </w:r>
      <w:r>
        <w:rPr>
          <w:spacing w:val="-56"/>
        </w:rPr>
        <w:t> </w:t>
      </w:r>
      <w:r>
        <w:rPr/>
        <w:t>13.87%、流量经营服务占比</w:t>
      </w:r>
      <w:r>
        <w:rPr>
          <w:spacing w:val="-56"/>
        </w:rPr>
        <w:t> </w:t>
      </w:r>
      <w:r>
        <w:rPr/>
        <w:t>9.58%，</w:t>
      </w:r>
    </w:p>
    <w:p>
      <w:pPr>
        <w:pStyle w:val="BodyText"/>
        <w:spacing w:line="273" w:lineRule="auto" w:before="37"/>
        <w:ind w:left="393" w:right="450"/>
        <w:jc w:val="both"/>
      </w:pPr>
      <w:r>
        <w:rPr>
          <w:spacing w:val="-2"/>
        </w:rPr>
        <w:t>信息传输是主业，是盈利的主要来源。信息传输收入由发送短信收入和业务酬金两部分构成，2014</w:t>
      </w:r>
      <w:r>
        <w:rPr>
          <w:spacing w:val="-42"/>
        </w:rPr>
        <w:t> </w:t>
      </w:r>
      <w:r>
        <w:rPr>
          <w:spacing w:val="-42"/>
        </w:rPr>
      </w:r>
      <w:r>
        <w:rPr/>
        <w:t>年重组至</w:t>
      </w:r>
      <w:r>
        <w:rPr>
          <w:spacing w:val="-56"/>
        </w:rPr>
        <w:t> </w:t>
      </w:r>
      <w:r>
        <w:rPr/>
        <w:t>2017</w:t>
      </w:r>
      <w:r>
        <w:rPr>
          <w:spacing w:val="-58"/>
        </w:rPr>
        <w:t> </w:t>
      </w:r>
      <w:r>
        <w:rPr/>
        <w:t>年的四年里，发送短信收入分别为</w:t>
      </w:r>
      <w:r>
        <w:rPr>
          <w:spacing w:val="-58"/>
        </w:rPr>
        <w:t> </w:t>
      </w:r>
      <w:r>
        <w:rPr/>
        <w:t>32,326.20</w:t>
      </w:r>
      <w:r>
        <w:rPr>
          <w:spacing w:val="-56"/>
        </w:rPr>
        <w:t> </w:t>
      </w:r>
      <w:r>
        <w:rPr/>
        <w:t>万元、43,500.44</w:t>
      </w:r>
      <w:r>
        <w:rPr>
          <w:spacing w:val="-58"/>
        </w:rPr>
        <w:t> </w:t>
      </w:r>
      <w:r>
        <w:rPr/>
        <w:t>万元、48,641.38</w:t>
      </w:r>
      <w:r>
        <w:rPr>
          <w:spacing w:val="-58"/>
        </w:rPr>
        <w:t> </w:t>
      </w:r>
      <w:r>
        <w:rPr/>
        <w:t>万</w:t>
      </w:r>
      <w:r>
        <w:rPr>
          <w:w w:val="100"/>
        </w:rPr>
        <w:t> </w:t>
      </w:r>
      <w:r>
        <w:rPr/>
        <w:t>元、49,789.27</w:t>
      </w:r>
      <w:r>
        <w:rPr>
          <w:spacing w:val="-22"/>
        </w:rPr>
        <w:t> </w:t>
      </w:r>
      <w:r>
        <w:rPr/>
        <w:t>万元，业务规模持续扩大。电信运营商为促进短信发送业务量的增长、合作发展，</w:t>
      </w:r>
      <w:r>
        <w:rPr>
          <w:w w:val="100"/>
        </w:rPr>
        <w:t> </w:t>
      </w:r>
      <w:r>
        <w:rPr>
          <w:spacing w:val="2"/>
        </w:rPr>
        <w:t>根据完成的短信业务发送量以阶梯定价模式支付给创世漫道的业务酬金在</w:t>
      </w:r>
      <w:r>
        <w:rPr>
          <w:spacing w:val="45"/>
        </w:rPr>
        <w:t> </w:t>
      </w:r>
      <w:r>
        <w:rPr/>
        <w:t>2014—2017</w:t>
      </w:r>
      <w:r>
        <w:rPr>
          <w:spacing w:val="45"/>
        </w:rPr>
        <w:t> </w:t>
      </w:r>
      <w:r>
        <w:rPr/>
        <w:t>年分别为</w:t>
      </w:r>
      <w:r>
        <w:rPr>
          <w:spacing w:val="-92"/>
        </w:rPr>
        <w:t> </w:t>
      </w:r>
      <w:r>
        <w:rPr>
          <w:spacing w:val="-92"/>
        </w:rPr>
      </w:r>
      <w:r>
        <w:rPr/>
        <w:t>2,156.37</w:t>
      </w:r>
      <w:r>
        <w:rPr>
          <w:spacing w:val="-60"/>
        </w:rPr>
        <w:t> </w:t>
      </w:r>
      <w:r>
        <w:rPr/>
        <w:t>万元、3,335.98</w:t>
      </w:r>
      <w:r>
        <w:rPr>
          <w:spacing w:val="-60"/>
        </w:rPr>
        <w:t> </w:t>
      </w:r>
      <w:r>
        <w:rPr/>
        <w:t>万元、3,291.30</w:t>
      </w:r>
      <w:r>
        <w:rPr>
          <w:spacing w:val="-58"/>
        </w:rPr>
        <w:t> </w:t>
      </w:r>
      <w:r>
        <w:rPr/>
        <w:t>万元、4,018.06</w:t>
      </w:r>
      <w:r>
        <w:rPr>
          <w:spacing w:val="-58"/>
        </w:rPr>
        <w:t> </w:t>
      </w:r>
      <w:r>
        <w:rPr/>
        <w:t>万元，仍在上升。公司信息传输业务发</w:t>
      </w:r>
      <w:r>
        <w:rPr>
          <w:w w:val="100"/>
        </w:rPr>
        <w:t> </w:t>
      </w:r>
      <w:r>
        <w:rPr/>
        <w:t>展趋势与宏观经济政策对移动通信服务的支持、行业短信发送持续增长的市场环境是一致的。</w:t>
      </w:r>
    </w:p>
    <w:p>
      <w:pPr>
        <w:pStyle w:val="BodyText"/>
        <w:spacing w:line="273" w:lineRule="auto"/>
        <w:ind w:left="393" w:right="452" w:firstLine="420"/>
        <w:jc w:val="both"/>
      </w:pPr>
      <w:r>
        <w:rPr/>
        <w:t>2、创世漫道的信息传输业务的盈利能力较竞争对手更强，将运用人工智能和大数据持续升级</w:t>
      </w:r>
      <w:r>
        <w:rPr>
          <w:w w:val="100"/>
        </w:rPr>
        <w:t> </w:t>
      </w:r>
      <w:r>
        <w:rPr>
          <w:spacing w:val="-2"/>
        </w:rPr>
        <w:t>核心处理平台技术，优化通道资源，整合代理渠道，使得调度系统和服务方式领先竞争对手，促进</w:t>
      </w:r>
      <w:r>
        <w:rPr>
          <w:spacing w:val="-45"/>
        </w:rPr>
        <w:t> </w:t>
      </w:r>
      <w:r>
        <w:rPr>
          <w:spacing w:val="-45"/>
        </w:rPr>
      </w:r>
      <w:r>
        <w:rPr/>
        <w:t>营收较快增长。创世漫道与竞争对手的经营收入、毛利率情况见下表：</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91"/>
        <w:gridCol w:w="2412"/>
        <w:gridCol w:w="2693"/>
        <w:gridCol w:w="2268"/>
        <w:gridCol w:w="1274"/>
      </w:tblGrid>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年上半年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资料来源</w:t>
            </w:r>
          </w:p>
        </w:tc>
      </w:tr>
      <w:tr>
        <w:trPr>
          <w:trHeight w:val="117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8"/>
              <w:jc w:val="both"/>
              <w:rPr>
                <w:rFonts w:ascii="宋体" w:hAnsi="宋体" w:cs="宋体" w:eastAsia="宋体" w:hint="default"/>
                <w:sz w:val="18"/>
                <w:szCs w:val="18"/>
              </w:rPr>
            </w:pPr>
            <w:r>
              <w:rPr>
                <w:rFonts w:ascii="宋体" w:hAnsi="宋体" w:cs="宋体" w:eastAsia="宋体" w:hint="default"/>
                <w:spacing w:val="14"/>
                <w:sz w:val="18"/>
                <w:szCs w:val="18"/>
              </w:rPr>
              <w:t>北京创世</w:t>
            </w:r>
            <w:r>
              <w:rPr>
                <w:rFonts w:ascii="宋体" w:hAnsi="宋体" w:cs="宋体" w:eastAsia="宋体" w:hint="default"/>
                <w:sz w:val="18"/>
                <w:szCs w:val="18"/>
              </w:rPr>
              <w:t> </w:t>
            </w:r>
            <w:r>
              <w:rPr>
                <w:rFonts w:ascii="宋体" w:hAnsi="宋体" w:cs="宋体" w:eastAsia="宋体" w:hint="default"/>
                <w:spacing w:val="14"/>
                <w:sz w:val="18"/>
                <w:szCs w:val="18"/>
              </w:rPr>
              <w:t>漫道科技</w:t>
            </w:r>
            <w:r>
              <w:rPr>
                <w:rFonts w:ascii="宋体" w:hAnsi="宋体" w:cs="宋体" w:eastAsia="宋体" w:hint="default"/>
                <w:sz w:val="18"/>
                <w:szCs w:val="18"/>
              </w:rPr>
              <w:t> 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创世漫道 2016 年营收</w:t>
            </w:r>
            <w:r>
              <w:rPr>
                <w:rFonts w:ascii="宋体" w:hAnsi="宋体" w:cs="宋体" w:eastAsia="宋体" w:hint="default"/>
                <w:spacing w:val="-54"/>
                <w:sz w:val="18"/>
                <w:szCs w:val="18"/>
              </w:rPr>
              <w:t> </w:t>
            </w:r>
            <w:r>
              <w:rPr>
                <w:rFonts w:ascii="宋体" w:hAnsi="宋体" w:cs="宋体" w:eastAsia="宋体" w:hint="default"/>
                <w:sz w:val="18"/>
                <w:szCs w:val="18"/>
              </w:rPr>
              <w:t>6.11</w:t>
            </w:r>
          </w:p>
          <w:p>
            <w:pPr>
              <w:pStyle w:val="TableParagraph"/>
              <w:spacing w:line="232" w:lineRule="exact" w:before="24"/>
              <w:ind w:left="103" w:right="43"/>
              <w:jc w:val="both"/>
              <w:rPr>
                <w:rFonts w:ascii="宋体" w:hAnsi="宋体" w:cs="宋体" w:eastAsia="宋体" w:hint="default"/>
                <w:sz w:val="18"/>
                <w:szCs w:val="18"/>
              </w:rPr>
            </w:pPr>
            <w:r>
              <w:rPr>
                <w:rFonts w:ascii="宋体" w:hAnsi="宋体" w:cs="宋体" w:eastAsia="宋体" w:hint="default"/>
                <w:spacing w:val="14"/>
                <w:sz w:val="18"/>
                <w:szCs w:val="18"/>
              </w:rPr>
              <w:t>亿元，</w:t>
            </w:r>
            <w:r>
              <w:rPr>
                <w:rFonts w:ascii="宋体" w:hAnsi="宋体" w:cs="宋体" w:eastAsia="宋体" w:hint="default"/>
                <w:spacing w:val="-69"/>
                <w:sz w:val="18"/>
                <w:szCs w:val="18"/>
              </w:rPr>
              <w:t> </w:t>
            </w:r>
            <w:r>
              <w:rPr>
                <w:rFonts w:ascii="宋体" w:hAnsi="宋体" w:cs="宋体" w:eastAsia="宋体" w:hint="default"/>
                <w:spacing w:val="18"/>
                <w:sz w:val="18"/>
                <w:szCs w:val="18"/>
              </w:rPr>
              <w:t>其中信息传输营收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5.19</w:t>
            </w:r>
            <w:r>
              <w:rPr>
                <w:rFonts w:ascii="宋体" w:hAnsi="宋体" w:cs="宋体" w:eastAsia="宋体" w:hint="default"/>
                <w:spacing w:val="-44"/>
                <w:sz w:val="18"/>
                <w:szCs w:val="18"/>
              </w:rPr>
              <w:t> </w:t>
            </w:r>
            <w:r>
              <w:rPr>
                <w:rFonts w:ascii="宋体" w:hAnsi="宋体" w:cs="宋体" w:eastAsia="宋体" w:hint="default"/>
                <w:sz w:val="18"/>
                <w:szCs w:val="18"/>
              </w:rPr>
              <w:t>亿元同比增幅</w:t>
            </w:r>
            <w:r>
              <w:rPr>
                <w:rFonts w:ascii="宋体" w:hAnsi="宋体" w:cs="宋体" w:eastAsia="宋体" w:hint="default"/>
                <w:spacing w:val="-46"/>
                <w:sz w:val="18"/>
                <w:szCs w:val="18"/>
              </w:rPr>
              <w:t> </w:t>
            </w:r>
            <w:r>
              <w:rPr>
                <w:rFonts w:ascii="宋体" w:hAnsi="宋体" w:cs="宋体" w:eastAsia="宋体" w:hint="default"/>
                <w:sz w:val="18"/>
                <w:szCs w:val="18"/>
              </w:rPr>
              <w:t>10.88%，</w:t>
            </w:r>
            <w:r>
              <w:rPr>
                <w:rFonts w:ascii="宋体" w:hAnsi="宋体" w:cs="宋体" w:eastAsia="宋体" w:hint="default"/>
                <w:sz w:val="18"/>
                <w:szCs w:val="18"/>
              </w:rPr>
              <w:t> 毛</w:t>
            </w:r>
            <w:r>
              <w:rPr>
                <w:rFonts w:ascii="宋体" w:hAnsi="宋体" w:cs="宋体" w:eastAsia="宋体" w:hint="default"/>
                <w:spacing w:val="-60"/>
                <w:sz w:val="18"/>
                <w:szCs w:val="18"/>
              </w:rPr>
              <w:t> </w:t>
            </w:r>
            <w:r>
              <w:rPr>
                <w:rFonts w:ascii="宋体" w:hAnsi="宋体" w:cs="宋体" w:eastAsia="宋体" w:hint="default"/>
                <w:sz w:val="18"/>
                <w:szCs w:val="18"/>
              </w:rPr>
              <w:t>利</w:t>
            </w:r>
            <w:r>
              <w:rPr>
                <w:rFonts w:ascii="宋体" w:hAnsi="宋体" w:cs="宋体" w:eastAsia="宋体" w:hint="default"/>
                <w:spacing w:val="-60"/>
                <w:sz w:val="18"/>
                <w:szCs w:val="18"/>
              </w:rPr>
              <w:t> </w:t>
            </w:r>
            <w:r>
              <w:rPr>
                <w:rFonts w:ascii="宋体" w:hAnsi="宋体" w:cs="宋体" w:eastAsia="宋体" w:hint="default"/>
                <w:sz w:val="18"/>
                <w:szCs w:val="18"/>
              </w:rPr>
              <w:t>率</w:t>
            </w:r>
            <w:r>
              <w:rPr>
                <w:rFonts w:ascii="宋体" w:hAnsi="宋体" w:cs="宋体" w:eastAsia="宋体" w:hint="default"/>
                <w:spacing w:val="-60"/>
                <w:sz w:val="18"/>
                <w:szCs w:val="18"/>
              </w:rPr>
              <w:t> </w:t>
            </w:r>
            <w:r>
              <w:rPr>
                <w:rFonts w:ascii="宋体" w:hAnsi="宋体" w:cs="宋体" w:eastAsia="宋体" w:hint="default"/>
                <w:sz w:val="18"/>
                <w:szCs w:val="18"/>
              </w:rPr>
              <w:t>为</w:t>
            </w:r>
            <w:r>
              <w:rPr>
                <w:rFonts w:ascii="宋体" w:hAnsi="宋体" w:cs="宋体" w:eastAsia="宋体" w:hint="default"/>
                <w:spacing w:val="29"/>
                <w:sz w:val="18"/>
                <w:szCs w:val="18"/>
              </w:rPr>
              <w:t> </w:t>
            </w:r>
            <w:r>
              <w:rPr>
                <w:rFonts w:ascii="宋体" w:hAnsi="宋体" w:cs="宋体" w:eastAsia="宋体" w:hint="default"/>
                <w:sz w:val="18"/>
                <w:szCs w:val="18"/>
              </w:rPr>
              <w:t>35.45%(</w:t>
            </w:r>
            <w:r>
              <w:rPr>
                <w:rFonts w:ascii="宋体" w:hAnsi="宋体" w:cs="宋体" w:eastAsia="宋体" w:hint="default"/>
                <w:spacing w:val="-59"/>
                <w:sz w:val="18"/>
                <w:szCs w:val="18"/>
              </w:rPr>
              <w:t> </w:t>
            </w:r>
            <w:r>
              <w:rPr>
                <w:rFonts w:ascii="宋体" w:hAnsi="宋体" w:cs="宋体" w:eastAsia="宋体" w:hint="default"/>
                <w:sz w:val="18"/>
                <w:szCs w:val="18"/>
              </w:rPr>
              <w:t>短</w:t>
            </w:r>
            <w:r>
              <w:rPr>
                <w:rFonts w:ascii="宋体" w:hAnsi="宋体" w:cs="宋体" w:eastAsia="宋体" w:hint="default"/>
                <w:spacing w:val="-60"/>
                <w:sz w:val="18"/>
                <w:szCs w:val="18"/>
              </w:rPr>
              <w:t> </w:t>
            </w:r>
            <w:r>
              <w:rPr>
                <w:rFonts w:ascii="宋体" w:hAnsi="宋体" w:cs="宋体" w:eastAsia="宋体" w:hint="default"/>
                <w:sz w:val="18"/>
                <w:szCs w:val="18"/>
              </w:rPr>
              <w:t>彩</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z w:val="18"/>
                <w:szCs w:val="18"/>
              </w:rPr>
              <w:t> 31.08%)。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both"/>
              <w:rPr>
                <w:rFonts w:ascii="宋体" w:hAnsi="宋体" w:cs="宋体" w:eastAsia="宋体" w:hint="default"/>
                <w:sz w:val="18"/>
                <w:szCs w:val="18"/>
              </w:rPr>
            </w:pPr>
            <w:r>
              <w:rPr>
                <w:rFonts w:ascii="宋体" w:hAnsi="宋体" w:cs="宋体" w:eastAsia="宋体" w:hint="default"/>
                <w:sz w:val="18"/>
                <w:szCs w:val="18"/>
              </w:rPr>
              <w:t>创世漫道</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年中期营收</w:t>
            </w:r>
            <w:r>
              <w:rPr>
                <w:rFonts w:ascii="宋体" w:hAnsi="宋体" w:cs="宋体" w:eastAsia="宋体" w:hint="default"/>
                <w:spacing w:val="-45"/>
                <w:sz w:val="18"/>
                <w:szCs w:val="18"/>
              </w:rPr>
              <w:t> </w:t>
            </w:r>
            <w:r>
              <w:rPr>
                <w:rFonts w:ascii="宋体" w:hAnsi="宋体" w:cs="宋体" w:eastAsia="宋体" w:hint="default"/>
                <w:sz w:val="18"/>
                <w:szCs w:val="18"/>
              </w:rPr>
              <w:t>2.88</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3"/>
                <w:sz w:val="18"/>
                <w:szCs w:val="18"/>
              </w:rPr>
              <w:t>亿元，其中信息传输营收</w:t>
            </w:r>
            <w:r>
              <w:rPr>
                <w:rFonts w:ascii="宋体" w:hAnsi="宋体" w:cs="宋体" w:eastAsia="宋体" w:hint="default"/>
                <w:spacing w:val="6"/>
                <w:sz w:val="18"/>
                <w:szCs w:val="18"/>
              </w:rPr>
              <w:t> </w:t>
            </w:r>
            <w:r>
              <w:rPr>
                <w:rFonts w:ascii="宋体" w:hAnsi="宋体" w:cs="宋体" w:eastAsia="宋体" w:hint="default"/>
                <w:sz w:val="18"/>
                <w:szCs w:val="18"/>
              </w:rPr>
              <w:t>2.36</w:t>
            </w:r>
            <w:r>
              <w:rPr>
                <w:rFonts w:ascii="宋体" w:hAnsi="宋体" w:cs="宋体" w:eastAsia="宋体" w:hint="default"/>
                <w:sz w:val="18"/>
                <w:szCs w:val="18"/>
              </w:rPr>
              <w:t> 亿元同比降幅</w:t>
            </w:r>
            <w:r>
              <w:rPr>
                <w:rFonts w:ascii="宋体" w:hAnsi="宋体" w:cs="宋体" w:eastAsia="宋体" w:hint="default"/>
                <w:spacing w:val="-46"/>
                <w:sz w:val="18"/>
                <w:szCs w:val="18"/>
              </w:rPr>
              <w:t> </w:t>
            </w:r>
            <w:r>
              <w:rPr>
                <w:rFonts w:ascii="宋体" w:hAnsi="宋体" w:cs="宋体" w:eastAsia="宋体" w:hint="default"/>
                <w:sz w:val="18"/>
                <w:szCs w:val="18"/>
              </w:rPr>
              <w:t>8.78%，毛利率为</w:t>
            </w:r>
            <w:r>
              <w:rPr>
                <w:rFonts w:ascii="宋体" w:hAnsi="宋体" w:cs="宋体" w:eastAsia="宋体" w:hint="default"/>
                <w:sz w:val="18"/>
                <w:szCs w:val="18"/>
              </w:rPr>
              <w:t> 33.75%(短彩信</w:t>
            </w:r>
            <w:r>
              <w:rPr>
                <w:rFonts w:ascii="宋体" w:hAnsi="宋体" w:cs="宋体" w:eastAsia="宋体" w:hint="default"/>
                <w:spacing w:val="-45"/>
                <w:sz w:val="18"/>
                <w:szCs w:val="18"/>
              </w:rPr>
              <w:t> </w:t>
            </w:r>
            <w:r>
              <w:rPr>
                <w:rFonts w:ascii="宋体" w:hAnsi="宋体" w:cs="宋体" w:eastAsia="宋体" w:hint="default"/>
                <w:sz w:val="18"/>
                <w:szCs w:val="18"/>
              </w:rPr>
              <w:t>28.06%)。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创世漫道</w:t>
            </w:r>
            <w:r>
              <w:rPr>
                <w:rFonts w:ascii="宋体" w:hAnsi="宋体" w:cs="宋体" w:eastAsia="宋体" w:hint="default"/>
                <w:spacing w:val="-67"/>
                <w:sz w:val="18"/>
                <w:szCs w:val="18"/>
              </w:rPr>
              <w:t> </w:t>
            </w:r>
            <w:r>
              <w:rPr>
                <w:rFonts w:ascii="宋体" w:hAnsi="宋体" w:cs="宋体" w:eastAsia="宋体" w:hint="default"/>
                <w:sz w:val="18"/>
                <w:szCs w:val="18"/>
              </w:rPr>
              <w:t>2017</w:t>
            </w:r>
            <w:r>
              <w:rPr>
                <w:rFonts w:ascii="宋体" w:hAnsi="宋体" w:cs="宋体" w:eastAsia="宋体" w:hint="default"/>
                <w:spacing w:val="-65"/>
                <w:sz w:val="18"/>
                <w:szCs w:val="18"/>
              </w:rPr>
              <w:t> </w:t>
            </w:r>
            <w:r>
              <w:rPr>
                <w:rFonts w:ascii="宋体" w:hAnsi="宋体" w:cs="宋体" w:eastAsia="宋体" w:hint="default"/>
                <w:sz w:val="18"/>
                <w:szCs w:val="18"/>
              </w:rPr>
              <w:t>年营收</w:t>
            </w:r>
            <w:r>
              <w:rPr>
                <w:rFonts w:ascii="宋体" w:hAnsi="宋体" w:cs="宋体" w:eastAsia="宋体" w:hint="default"/>
                <w:spacing w:val="-67"/>
                <w:sz w:val="18"/>
                <w:szCs w:val="18"/>
              </w:rPr>
              <w:t> </w:t>
            </w:r>
            <w:r>
              <w:rPr>
                <w:rFonts w:ascii="宋体" w:hAnsi="宋体" w:cs="宋体" w:eastAsia="宋体" w:hint="default"/>
                <w:sz w:val="18"/>
                <w:szCs w:val="18"/>
              </w:rPr>
              <w:t>7.03</w:t>
            </w:r>
          </w:p>
          <w:p>
            <w:pPr>
              <w:pStyle w:val="TableParagraph"/>
              <w:spacing w:line="232" w:lineRule="exact" w:before="24"/>
              <w:ind w:left="103" w:right="7"/>
              <w:jc w:val="left"/>
              <w:rPr>
                <w:rFonts w:ascii="宋体" w:hAnsi="宋体" w:cs="宋体" w:eastAsia="宋体" w:hint="default"/>
                <w:sz w:val="18"/>
                <w:szCs w:val="18"/>
              </w:rPr>
            </w:pPr>
            <w:r>
              <w:rPr>
                <w:rFonts w:ascii="宋体" w:hAnsi="宋体" w:cs="宋体" w:eastAsia="宋体" w:hint="default"/>
                <w:spacing w:val="6"/>
                <w:sz w:val="18"/>
                <w:szCs w:val="18"/>
              </w:rPr>
              <w:t>亿元，其中信息传输营收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5.38</w:t>
            </w:r>
            <w:r>
              <w:rPr>
                <w:rFonts w:ascii="宋体" w:hAnsi="宋体" w:cs="宋体" w:eastAsia="宋体" w:hint="default"/>
                <w:spacing w:val="-54"/>
                <w:sz w:val="18"/>
                <w:szCs w:val="18"/>
              </w:rPr>
              <w:t> </w:t>
            </w:r>
            <w:r>
              <w:rPr>
                <w:rFonts w:ascii="宋体" w:hAnsi="宋体" w:cs="宋体" w:eastAsia="宋体" w:hint="default"/>
                <w:sz w:val="18"/>
                <w:szCs w:val="18"/>
              </w:rPr>
              <w:t>亿元同比增幅</w:t>
            </w:r>
            <w:r>
              <w:rPr>
                <w:rFonts w:ascii="宋体" w:hAnsi="宋体" w:cs="宋体" w:eastAsia="宋体" w:hint="default"/>
                <w:spacing w:val="-53"/>
                <w:sz w:val="18"/>
                <w:szCs w:val="18"/>
              </w:rPr>
              <w:t> </w:t>
            </w:r>
            <w:r>
              <w:rPr>
                <w:rFonts w:ascii="宋体" w:hAnsi="宋体" w:cs="宋体" w:eastAsia="宋体" w:hint="default"/>
                <w:sz w:val="18"/>
                <w:szCs w:val="18"/>
              </w:rPr>
              <w:t>3.61%，</w:t>
            </w:r>
            <w:r>
              <w:rPr>
                <w:rFonts w:ascii="宋体" w:hAnsi="宋体" w:cs="宋体" w:eastAsia="宋体" w:hint="default"/>
                <w:sz w:val="18"/>
                <w:szCs w:val="18"/>
              </w:rPr>
              <w:t> </w:t>
            </w:r>
            <w:r>
              <w:rPr>
                <w:rFonts w:ascii="宋体" w:hAnsi="宋体" w:cs="宋体" w:eastAsia="宋体" w:hint="default"/>
                <w:spacing w:val="6"/>
                <w:sz w:val="18"/>
                <w:szCs w:val="18"/>
              </w:rPr>
              <w:t>毛利率为 </w:t>
            </w:r>
            <w:r>
              <w:rPr>
                <w:rFonts w:ascii="宋体" w:hAnsi="宋体" w:cs="宋体" w:eastAsia="宋体" w:hint="default"/>
                <w:spacing w:val="2"/>
                <w:sz w:val="18"/>
                <w:szCs w:val="18"/>
              </w:rPr>
              <w:t>36.27%(短彩信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31.12%)。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6"/>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22"/>
                <w:sz w:val="18"/>
                <w:szCs w:val="18"/>
              </w:rPr>
              <w:t> </w:t>
            </w:r>
            <w:r>
              <w:rPr>
                <w:rFonts w:ascii="宋体" w:hAnsi="宋体" w:cs="宋体" w:eastAsia="宋体" w:hint="default"/>
                <w:sz w:val="18"/>
                <w:szCs w:val="18"/>
              </w:rPr>
              <w:t>2016</w:t>
            </w:r>
            <w:r>
              <w:rPr>
                <w:rFonts w:ascii="宋体" w:hAnsi="宋体" w:cs="宋体" w:eastAsia="宋体" w:hint="default"/>
                <w:sz w:val="18"/>
                <w:szCs w:val="18"/>
              </w:rPr>
              <w:t> </w:t>
            </w:r>
            <w:r>
              <w:rPr>
                <w:rFonts w:ascii="宋体" w:hAnsi="宋体" w:cs="宋体" w:eastAsia="宋体" w:hint="default"/>
                <w:spacing w:val="-10"/>
                <w:sz w:val="18"/>
                <w:szCs w:val="18"/>
              </w:rPr>
              <w:t>年报、2017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r>
              <w:rPr>
                <w:rFonts w:ascii="宋体" w:hAnsi="宋体" w:cs="宋体" w:eastAsia="宋体" w:hint="default"/>
                <w:spacing w:val="-3"/>
                <w:sz w:val="18"/>
                <w:szCs w:val="18"/>
              </w:rPr>
              <w:t>半年报、2017</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年报。</w:t>
            </w:r>
          </w:p>
        </w:tc>
      </w:tr>
      <w:tr>
        <w:trPr>
          <w:trHeight w:val="94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both"/>
              <w:rPr>
                <w:rFonts w:ascii="宋体" w:hAnsi="宋体" w:cs="宋体" w:eastAsia="宋体" w:hint="default"/>
                <w:sz w:val="18"/>
                <w:szCs w:val="18"/>
              </w:rPr>
            </w:pPr>
            <w:r>
              <w:rPr>
                <w:rFonts w:ascii="宋体" w:hAnsi="宋体" w:cs="宋体" w:eastAsia="宋体" w:hint="default"/>
                <w:spacing w:val="14"/>
                <w:sz w:val="18"/>
                <w:szCs w:val="18"/>
              </w:rPr>
              <w:t>北京亿美</w:t>
            </w:r>
            <w:r>
              <w:rPr>
                <w:rFonts w:ascii="宋体" w:hAnsi="宋体" w:cs="宋体" w:eastAsia="宋体" w:hint="default"/>
                <w:sz w:val="18"/>
                <w:szCs w:val="18"/>
              </w:rPr>
              <w:t> </w:t>
            </w:r>
            <w:r>
              <w:rPr>
                <w:rFonts w:ascii="宋体" w:hAnsi="宋体" w:cs="宋体" w:eastAsia="宋体" w:hint="default"/>
                <w:spacing w:val="14"/>
                <w:sz w:val="18"/>
                <w:szCs w:val="18"/>
              </w:rPr>
              <w:t>软通科技</w:t>
            </w:r>
            <w:r>
              <w:rPr>
                <w:rFonts w:ascii="宋体" w:hAnsi="宋体" w:cs="宋体" w:eastAsia="宋体" w:hint="default"/>
                <w:sz w:val="18"/>
                <w:szCs w:val="18"/>
              </w:rPr>
              <w:t> 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亿美软通 2016 年营收</w:t>
            </w:r>
            <w:r>
              <w:rPr>
                <w:rFonts w:ascii="宋体" w:hAnsi="宋体" w:cs="宋体" w:eastAsia="宋体" w:hint="default"/>
                <w:spacing w:val="-55"/>
                <w:sz w:val="18"/>
                <w:szCs w:val="18"/>
              </w:rPr>
              <w:t> </w:t>
            </w:r>
            <w:r>
              <w:rPr>
                <w:rFonts w:ascii="宋体" w:hAnsi="宋体" w:cs="宋体" w:eastAsia="宋体" w:hint="default"/>
                <w:sz w:val="18"/>
                <w:szCs w:val="18"/>
              </w:rPr>
              <w:t>4.52</w:t>
            </w:r>
          </w:p>
          <w:p>
            <w:pPr>
              <w:pStyle w:val="TableParagraph"/>
              <w:spacing w:line="237" w:lineRule="auto"/>
              <w:ind w:left="103" w:right="43"/>
              <w:jc w:val="left"/>
              <w:rPr>
                <w:rFonts w:ascii="宋体" w:hAnsi="宋体" w:cs="宋体" w:eastAsia="宋体" w:hint="default"/>
                <w:sz w:val="18"/>
                <w:szCs w:val="18"/>
              </w:rPr>
            </w:pPr>
            <w:r>
              <w:rPr>
                <w:rFonts w:ascii="宋体" w:hAnsi="宋体" w:cs="宋体" w:eastAsia="宋体" w:hint="default"/>
                <w:spacing w:val="2"/>
                <w:sz w:val="18"/>
                <w:szCs w:val="18"/>
              </w:rPr>
              <w:t>亿元，其中短彩信通讯营收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3.98</w:t>
            </w:r>
            <w:r>
              <w:rPr>
                <w:rFonts w:ascii="宋体" w:hAnsi="宋体" w:cs="宋体" w:eastAsia="宋体" w:hint="default"/>
                <w:spacing w:val="-44"/>
                <w:sz w:val="18"/>
                <w:szCs w:val="18"/>
              </w:rPr>
              <w:t> </w:t>
            </w:r>
            <w:r>
              <w:rPr>
                <w:rFonts w:ascii="宋体" w:hAnsi="宋体" w:cs="宋体" w:eastAsia="宋体" w:hint="default"/>
                <w:sz w:val="18"/>
                <w:szCs w:val="18"/>
              </w:rPr>
              <w:t>亿元同比增幅</w:t>
            </w:r>
            <w:r>
              <w:rPr>
                <w:rFonts w:ascii="宋体" w:hAnsi="宋体" w:cs="宋体" w:eastAsia="宋体" w:hint="default"/>
                <w:spacing w:val="-47"/>
                <w:sz w:val="18"/>
                <w:szCs w:val="18"/>
              </w:rPr>
              <w:t> </w:t>
            </w:r>
            <w:r>
              <w:rPr>
                <w:rFonts w:ascii="宋体" w:hAnsi="宋体" w:cs="宋体" w:eastAsia="宋体" w:hint="default"/>
                <w:sz w:val="18"/>
                <w:szCs w:val="18"/>
              </w:rPr>
              <w:t>35.03%，</w:t>
            </w:r>
            <w:r>
              <w:rPr>
                <w:rFonts w:ascii="宋体" w:hAnsi="宋体" w:cs="宋体" w:eastAsia="宋体" w:hint="default"/>
                <w:sz w:val="18"/>
                <w:szCs w:val="18"/>
              </w:rPr>
              <w:t> 毛利率为</w:t>
            </w:r>
            <w:r>
              <w:rPr>
                <w:rFonts w:ascii="宋体" w:hAnsi="宋体" w:cs="宋体" w:eastAsia="宋体" w:hint="default"/>
                <w:spacing w:val="-45"/>
                <w:sz w:val="18"/>
                <w:szCs w:val="18"/>
              </w:rPr>
              <w:t> </w:t>
            </w:r>
            <w:r>
              <w:rPr>
                <w:rFonts w:ascii="宋体" w:hAnsi="宋体" w:cs="宋体" w:eastAsia="宋体" w:hint="default"/>
                <w:sz w:val="18"/>
                <w:szCs w:val="18"/>
              </w:rPr>
              <w:t>26.91%。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亿美软通</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年中期营收</w:t>
            </w:r>
            <w:r>
              <w:rPr>
                <w:rFonts w:ascii="宋体" w:hAnsi="宋体" w:cs="宋体" w:eastAsia="宋体" w:hint="default"/>
                <w:spacing w:val="-46"/>
                <w:sz w:val="18"/>
                <w:szCs w:val="18"/>
              </w:rPr>
              <w:t> </w:t>
            </w:r>
            <w:r>
              <w:rPr>
                <w:rFonts w:ascii="宋体" w:hAnsi="宋体" w:cs="宋体" w:eastAsia="宋体" w:hint="default"/>
                <w:sz w:val="18"/>
                <w:szCs w:val="18"/>
              </w:rPr>
              <w:t>2.44</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8"/>
                <w:sz w:val="18"/>
                <w:szCs w:val="18"/>
              </w:rPr>
              <w:t>亿元，其中短彩信通讯营收</w:t>
            </w:r>
            <w:r>
              <w:rPr>
                <w:rFonts w:ascii="宋体" w:hAnsi="宋体" w:cs="宋体" w:eastAsia="宋体" w:hint="default"/>
                <w:spacing w:val="-39"/>
                <w:sz w:val="18"/>
                <w:szCs w:val="18"/>
              </w:rPr>
              <w:t> </w:t>
            </w:r>
            <w:r>
              <w:rPr>
                <w:rFonts w:ascii="宋体" w:hAnsi="宋体" w:cs="宋体" w:eastAsia="宋体" w:hint="default"/>
                <w:sz w:val="18"/>
                <w:szCs w:val="18"/>
              </w:rPr>
              <w:t>2.28</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亿元同比增幅</w:t>
            </w:r>
            <w:r>
              <w:rPr>
                <w:rFonts w:ascii="宋体" w:hAnsi="宋体" w:cs="宋体" w:eastAsia="宋体" w:hint="default"/>
                <w:spacing w:val="-40"/>
                <w:sz w:val="18"/>
                <w:szCs w:val="18"/>
              </w:rPr>
              <w:t> </w:t>
            </w:r>
            <w:r>
              <w:rPr>
                <w:rFonts w:ascii="宋体" w:hAnsi="宋体" w:cs="宋体" w:eastAsia="宋体" w:hint="default"/>
                <w:spacing w:val="-9"/>
                <w:sz w:val="18"/>
                <w:szCs w:val="18"/>
              </w:rPr>
              <w:t>34.89%，毛利率为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23.62%。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尚未发布</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年度报告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6"/>
              <w:jc w:val="both"/>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66"/>
                <w:sz w:val="18"/>
                <w:szCs w:val="18"/>
              </w:rPr>
              <w:t> </w:t>
            </w:r>
            <w:r>
              <w:rPr>
                <w:rFonts w:ascii="宋体" w:hAnsi="宋体" w:cs="宋体" w:eastAsia="宋体" w:hint="default"/>
                <w:sz w:val="18"/>
                <w:szCs w:val="18"/>
              </w:rPr>
              <w:t>之</w:t>
            </w:r>
            <w:r>
              <w:rPr>
                <w:rFonts w:ascii="宋体" w:hAnsi="宋体" w:cs="宋体" w:eastAsia="宋体" w:hint="default"/>
                <w:spacing w:val="-66"/>
                <w:sz w:val="18"/>
                <w:szCs w:val="18"/>
              </w:rPr>
              <w:t> </w:t>
            </w:r>
            <w:r>
              <w:rPr>
                <w:rFonts w:ascii="宋体" w:hAnsi="宋体" w:cs="宋体" w:eastAsia="宋体" w:hint="default"/>
                <w:sz w:val="18"/>
                <w:szCs w:val="18"/>
              </w:rPr>
              <w:t>杰</w:t>
            </w:r>
            <w:r>
              <w:rPr>
                <w:rFonts w:ascii="宋体" w:hAnsi="宋体" w:cs="宋体" w:eastAsia="宋体" w:hint="default"/>
                <w:spacing w:val="22"/>
                <w:sz w:val="18"/>
                <w:szCs w:val="18"/>
              </w:rPr>
              <w:t> </w:t>
            </w:r>
            <w:r>
              <w:rPr>
                <w:rFonts w:ascii="宋体" w:hAnsi="宋体" w:cs="宋体" w:eastAsia="宋体" w:hint="default"/>
                <w:sz w:val="18"/>
                <w:szCs w:val="18"/>
              </w:rPr>
              <w:t>2016</w:t>
            </w:r>
            <w:r>
              <w:rPr>
                <w:rFonts w:ascii="宋体" w:hAnsi="宋体" w:cs="宋体" w:eastAsia="宋体" w:hint="default"/>
                <w:sz w:val="18"/>
                <w:szCs w:val="18"/>
              </w:rPr>
              <w:t> </w:t>
            </w:r>
            <w:r>
              <w:rPr>
                <w:rFonts w:ascii="宋体" w:hAnsi="宋体" w:cs="宋体" w:eastAsia="宋体" w:hint="default"/>
                <w:spacing w:val="-10"/>
                <w:sz w:val="18"/>
                <w:szCs w:val="18"/>
              </w:rPr>
              <w:t>年报、2017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半年报。</w:t>
            </w:r>
          </w:p>
        </w:tc>
      </w:tr>
      <w:tr>
        <w:trPr>
          <w:trHeight w:val="94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both"/>
              <w:rPr>
                <w:rFonts w:ascii="宋体" w:hAnsi="宋体" w:cs="宋体" w:eastAsia="宋体" w:hint="default"/>
                <w:sz w:val="18"/>
                <w:szCs w:val="18"/>
              </w:rPr>
            </w:pPr>
            <w:r>
              <w:rPr>
                <w:rFonts w:ascii="宋体" w:hAnsi="宋体" w:cs="宋体" w:eastAsia="宋体" w:hint="default"/>
                <w:spacing w:val="14"/>
                <w:sz w:val="18"/>
                <w:szCs w:val="18"/>
              </w:rPr>
              <w:t>北京国都</w:t>
            </w:r>
            <w:r>
              <w:rPr>
                <w:rFonts w:ascii="宋体" w:hAnsi="宋体" w:cs="宋体" w:eastAsia="宋体" w:hint="default"/>
                <w:sz w:val="18"/>
                <w:szCs w:val="18"/>
              </w:rPr>
              <w:t> </w:t>
            </w:r>
            <w:r>
              <w:rPr>
                <w:rFonts w:ascii="宋体" w:hAnsi="宋体" w:cs="宋体" w:eastAsia="宋体" w:hint="default"/>
                <w:spacing w:val="14"/>
                <w:sz w:val="18"/>
                <w:szCs w:val="18"/>
              </w:rPr>
              <w:t>互联科技</w:t>
            </w:r>
            <w:r>
              <w:rPr>
                <w:rFonts w:ascii="宋体" w:hAnsi="宋体" w:cs="宋体" w:eastAsia="宋体" w:hint="default"/>
                <w:sz w:val="18"/>
                <w:szCs w:val="18"/>
              </w:rPr>
              <w:t> 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国都互联 2016</w:t>
            </w:r>
            <w:r>
              <w:rPr>
                <w:rFonts w:ascii="宋体" w:hAnsi="宋体" w:cs="宋体" w:eastAsia="宋体" w:hint="default"/>
                <w:spacing w:val="-54"/>
                <w:sz w:val="18"/>
                <w:szCs w:val="18"/>
              </w:rPr>
              <w:t> </w:t>
            </w:r>
            <w:r>
              <w:rPr>
                <w:rFonts w:ascii="宋体" w:hAnsi="宋体" w:cs="宋体" w:eastAsia="宋体" w:hint="default"/>
                <w:sz w:val="18"/>
                <w:szCs w:val="18"/>
              </w:rPr>
              <w:t>年营收(移动</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信息服务)9.64</w:t>
            </w:r>
            <w:r>
              <w:rPr>
                <w:rFonts w:ascii="宋体" w:hAnsi="宋体" w:cs="宋体" w:eastAsia="宋体" w:hint="default"/>
                <w:spacing w:val="16"/>
                <w:sz w:val="18"/>
                <w:szCs w:val="18"/>
              </w:rPr>
              <w:t> </w:t>
            </w:r>
            <w:r>
              <w:rPr>
                <w:rFonts w:ascii="宋体" w:hAnsi="宋体" w:cs="宋体" w:eastAsia="宋体" w:hint="default"/>
                <w:spacing w:val="2"/>
                <w:sz w:val="18"/>
                <w:szCs w:val="18"/>
              </w:rPr>
              <w:t>亿元，同比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w:t>
            </w:r>
            <w:r>
              <w:rPr>
                <w:rFonts w:ascii="宋体" w:hAnsi="宋体" w:cs="宋体" w:eastAsia="宋体" w:hint="default"/>
                <w:spacing w:val="-47"/>
                <w:sz w:val="18"/>
                <w:szCs w:val="18"/>
              </w:rPr>
              <w:t> </w:t>
            </w:r>
            <w:r>
              <w:rPr>
                <w:rFonts w:ascii="宋体" w:hAnsi="宋体" w:cs="宋体" w:eastAsia="宋体" w:hint="default"/>
                <w:sz w:val="18"/>
                <w:szCs w:val="18"/>
              </w:rPr>
              <w:t>幅</w:t>
            </w:r>
            <w:r>
              <w:rPr>
                <w:rFonts w:ascii="宋体" w:hAnsi="宋体" w:cs="宋体" w:eastAsia="宋体" w:hint="default"/>
                <w:spacing w:val="44"/>
                <w:sz w:val="18"/>
                <w:szCs w:val="18"/>
              </w:rPr>
              <w:t> </w:t>
            </w:r>
            <w:r>
              <w:rPr>
                <w:rFonts w:ascii="宋体" w:hAnsi="宋体" w:cs="宋体" w:eastAsia="宋体" w:hint="default"/>
                <w:sz w:val="18"/>
                <w:szCs w:val="18"/>
              </w:rPr>
              <w:t>25.95%</w:t>
            </w:r>
            <w:r>
              <w:rPr>
                <w:rFonts w:ascii="宋体" w:hAnsi="宋体" w:cs="宋体" w:eastAsia="宋体" w:hint="default"/>
                <w:spacing w:val="-46"/>
                <w:sz w:val="18"/>
                <w:szCs w:val="18"/>
              </w:rPr>
              <w:t> </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z w:val="18"/>
                <w:szCs w:val="18"/>
              </w:rPr>
              <w:t>毛</w:t>
            </w:r>
            <w:r>
              <w:rPr>
                <w:rFonts w:ascii="宋体" w:hAnsi="宋体" w:cs="宋体" w:eastAsia="宋体" w:hint="default"/>
                <w:spacing w:val="-47"/>
                <w:sz w:val="18"/>
                <w:szCs w:val="18"/>
              </w:rPr>
              <w:t> </w:t>
            </w:r>
            <w:r>
              <w:rPr>
                <w:rFonts w:ascii="宋体" w:hAnsi="宋体" w:cs="宋体" w:eastAsia="宋体" w:hint="default"/>
                <w:sz w:val="18"/>
                <w:szCs w:val="18"/>
              </w:rPr>
              <w:t>利</w:t>
            </w:r>
            <w:r>
              <w:rPr>
                <w:rFonts w:ascii="宋体" w:hAnsi="宋体" w:cs="宋体" w:eastAsia="宋体" w:hint="default"/>
                <w:spacing w:val="-47"/>
                <w:sz w:val="18"/>
                <w:szCs w:val="18"/>
              </w:rPr>
              <w:t> </w:t>
            </w:r>
            <w:r>
              <w:rPr>
                <w:rFonts w:ascii="宋体" w:hAnsi="宋体" w:cs="宋体" w:eastAsia="宋体" w:hint="default"/>
                <w:sz w:val="18"/>
                <w:szCs w:val="18"/>
              </w:rPr>
              <w:t>率</w:t>
            </w:r>
            <w:r>
              <w:rPr>
                <w:rFonts w:ascii="宋体" w:hAnsi="宋体" w:cs="宋体" w:eastAsia="宋体" w:hint="default"/>
                <w:spacing w:val="-47"/>
                <w:sz w:val="18"/>
                <w:szCs w:val="18"/>
              </w:rPr>
              <w:t> </w:t>
            </w:r>
            <w:r>
              <w:rPr>
                <w:rFonts w:ascii="宋体" w:hAnsi="宋体" w:cs="宋体" w:eastAsia="宋体" w:hint="default"/>
                <w:sz w:val="18"/>
                <w:szCs w:val="18"/>
              </w:rPr>
              <w:t>为</w:t>
            </w:r>
            <w:r>
              <w:rPr>
                <w:rFonts w:ascii="宋体" w:hAnsi="宋体" w:cs="宋体" w:eastAsia="宋体" w:hint="default"/>
                <w:sz w:val="18"/>
                <w:szCs w:val="18"/>
              </w:rPr>
              <w:t> 22.01%。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both"/>
              <w:rPr>
                <w:rFonts w:ascii="宋体" w:hAnsi="宋体" w:cs="宋体" w:eastAsia="宋体" w:hint="default"/>
                <w:sz w:val="18"/>
                <w:szCs w:val="18"/>
              </w:rPr>
            </w:pPr>
            <w:r>
              <w:rPr>
                <w:rFonts w:ascii="宋体" w:hAnsi="宋体" w:cs="宋体" w:eastAsia="宋体" w:hint="default"/>
                <w:sz w:val="18"/>
                <w:szCs w:val="18"/>
              </w:rPr>
              <w:t>国都互联</w:t>
            </w:r>
            <w:r>
              <w:rPr>
                <w:rFonts w:ascii="宋体" w:hAnsi="宋体" w:cs="宋体" w:eastAsia="宋体" w:hint="default"/>
                <w:spacing w:val="-69"/>
                <w:sz w:val="18"/>
                <w:szCs w:val="18"/>
              </w:rPr>
              <w:t> </w:t>
            </w:r>
            <w:r>
              <w:rPr>
                <w:rFonts w:ascii="宋体" w:hAnsi="宋体" w:cs="宋体" w:eastAsia="宋体" w:hint="default"/>
                <w:sz w:val="18"/>
                <w:szCs w:val="18"/>
              </w:rPr>
              <w:t>2017</w:t>
            </w:r>
            <w:r>
              <w:rPr>
                <w:rFonts w:ascii="宋体" w:hAnsi="宋体" w:cs="宋体" w:eastAsia="宋体" w:hint="default"/>
                <w:spacing w:val="-67"/>
                <w:sz w:val="18"/>
                <w:szCs w:val="18"/>
              </w:rPr>
              <w:t> </w:t>
            </w:r>
            <w:r>
              <w:rPr>
                <w:rFonts w:ascii="宋体" w:hAnsi="宋体" w:cs="宋体" w:eastAsia="宋体" w:hint="default"/>
                <w:sz w:val="18"/>
                <w:szCs w:val="18"/>
              </w:rPr>
              <w:t>年中期营收(移动</w:t>
            </w:r>
            <w:r>
              <w:rPr>
                <w:rFonts w:ascii="宋体" w:hAnsi="宋体" w:cs="宋体" w:eastAsia="宋体" w:hint="default"/>
                <w:sz w:val="18"/>
                <w:szCs w:val="18"/>
              </w:rPr>
              <w:t> 信息服务)6.67</w:t>
            </w:r>
            <w:r>
              <w:rPr>
                <w:rFonts w:ascii="宋体" w:hAnsi="宋体" w:cs="宋体" w:eastAsia="宋体" w:hint="default"/>
                <w:spacing w:val="-45"/>
                <w:sz w:val="18"/>
                <w:szCs w:val="18"/>
              </w:rPr>
              <w:t> </w:t>
            </w:r>
            <w:r>
              <w:rPr>
                <w:rFonts w:ascii="宋体" w:hAnsi="宋体" w:cs="宋体" w:eastAsia="宋体" w:hint="default"/>
                <w:sz w:val="18"/>
                <w:szCs w:val="18"/>
              </w:rPr>
              <w:t>亿元，同比增幅</w:t>
            </w:r>
            <w:r>
              <w:rPr>
                <w:rFonts w:ascii="宋体" w:hAnsi="宋体" w:cs="宋体" w:eastAsia="宋体" w:hint="default"/>
                <w:sz w:val="18"/>
                <w:szCs w:val="18"/>
              </w:rPr>
              <w:t> 53.70%，毛利率为</w:t>
            </w:r>
            <w:r>
              <w:rPr>
                <w:rFonts w:ascii="宋体" w:hAnsi="宋体" w:cs="宋体" w:eastAsia="宋体" w:hint="default"/>
                <w:spacing w:val="-46"/>
                <w:sz w:val="18"/>
                <w:szCs w:val="18"/>
              </w:rPr>
              <w:t> </w:t>
            </w:r>
            <w:r>
              <w:rPr>
                <w:rFonts w:ascii="宋体" w:hAnsi="宋体" w:cs="宋体" w:eastAsia="宋体" w:hint="default"/>
                <w:sz w:val="18"/>
                <w:szCs w:val="18"/>
              </w:rPr>
              <w:t>20.13%。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尚未发布</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年度报告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吴 通 控</w:t>
            </w:r>
            <w:r>
              <w:rPr>
                <w:rFonts w:ascii="宋体" w:hAnsi="宋体" w:cs="宋体" w:eastAsia="宋体" w:hint="default"/>
                <w:spacing w:val="65"/>
                <w:sz w:val="18"/>
                <w:szCs w:val="18"/>
              </w:rPr>
              <w:t> </w:t>
            </w:r>
            <w:r>
              <w:rPr>
                <w:rFonts w:ascii="宋体" w:hAnsi="宋体" w:cs="宋体" w:eastAsia="宋体" w:hint="default"/>
                <w:sz w:val="18"/>
                <w:szCs w:val="18"/>
              </w:rPr>
              <w:t>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报</w:t>
            </w:r>
            <w:r>
              <w:rPr>
                <w:rFonts w:ascii="宋体" w:hAnsi="宋体" w:cs="宋体" w:eastAsia="宋体" w:hint="default"/>
                <w:spacing w:val="-66"/>
                <w:sz w:val="18"/>
                <w:szCs w:val="18"/>
              </w:rPr>
              <w:t> </w:t>
            </w:r>
            <w:r>
              <w:rPr>
                <w:rFonts w:ascii="宋体" w:hAnsi="宋体" w:cs="宋体" w:eastAsia="宋体" w:hint="default"/>
                <w:sz w:val="18"/>
                <w:szCs w:val="18"/>
              </w:rPr>
              <w:t>、</w:t>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半</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z w:val="18"/>
                <w:szCs w:val="18"/>
              </w:rPr>
              <w:t> 报。</w:t>
            </w:r>
          </w:p>
        </w:tc>
      </w:tr>
      <w:tr>
        <w:trPr>
          <w:trHeight w:val="117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8"/>
              <w:jc w:val="both"/>
              <w:rPr>
                <w:rFonts w:ascii="宋体" w:hAnsi="宋体" w:cs="宋体" w:eastAsia="宋体" w:hint="default"/>
                <w:sz w:val="18"/>
                <w:szCs w:val="18"/>
              </w:rPr>
            </w:pPr>
            <w:r>
              <w:rPr>
                <w:rFonts w:ascii="宋体" w:hAnsi="宋体" w:cs="宋体" w:eastAsia="宋体" w:hint="default"/>
                <w:spacing w:val="14"/>
                <w:sz w:val="18"/>
                <w:szCs w:val="18"/>
              </w:rPr>
              <w:t>深圳市梦</w:t>
            </w:r>
            <w:r>
              <w:rPr>
                <w:rFonts w:ascii="宋体" w:hAnsi="宋体" w:cs="宋体" w:eastAsia="宋体" w:hint="default"/>
                <w:sz w:val="18"/>
                <w:szCs w:val="18"/>
              </w:rPr>
              <w:t> </w:t>
            </w:r>
            <w:r>
              <w:rPr>
                <w:rFonts w:ascii="宋体" w:hAnsi="宋体" w:cs="宋体" w:eastAsia="宋体" w:hint="default"/>
                <w:spacing w:val="14"/>
                <w:sz w:val="18"/>
                <w:szCs w:val="18"/>
              </w:rPr>
              <w:t>网科技发</w:t>
            </w:r>
            <w:r>
              <w:rPr>
                <w:rFonts w:ascii="宋体" w:hAnsi="宋体" w:cs="宋体" w:eastAsia="宋体" w:hint="default"/>
                <w:sz w:val="18"/>
                <w:szCs w:val="18"/>
              </w:rPr>
              <w:t> </w:t>
            </w:r>
            <w:r>
              <w:rPr>
                <w:rFonts w:ascii="宋体" w:hAnsi="宋体" w:cs="宋体" w:eastAsia="宋体" w:hint="default"/>
                <w:spacing w:val="14"/>
                <w:sz w:val="18"/>
                <w:szCs w:val="18"/>
              </w:rPr>
              <w:t>展有限公</w:t>
            </w:r>
            <w:r>
              <w:rPr>
                <w:rFonts w:ascii="宋体" w:hAnsi="宋体" w:cs="宋体" w:eastAsia="宋体" w:hint="default"/>
                <w:sz w:val="18"/>
                <w:szCs w:val="18"/>
              </w:rPr>
              <w:t> 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梦网科技</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49"/>
                <w:sz w:val="18"/>
                <w:szCs w:val="18"/>
              </w:rPr>
              <w:t> </w:t>
            </w:r>
            <w:r>
              <w:rPr>
                <w:rFonts w:ascii="宋体" w:hAnsi="宋体" w:cs="宋体" w:eastAsia="宋体" w:hint="default"/>
                <w:sz w:val="18"/>
                <w:szCs w:val="18"/>
              </w:rPr>
              <w:t>年营收</w:t>
            </w:r>
            <w:r>
              <w:rPr>
                <w:rFonts w:ascii="宋体" w:hAnsi="宋体" w:cs="宋体" w:eastAsia="宋体" w:hint="default"/>
                <w:spacing w:val="-50"/>
                <w:sz w:val="18"/>
                <w:szCs w:val="18"/>
              </w:rPr>
              <w:t> </w:t>
            </w:r>
            <w:r>
              <w:rPr>
                <w:rFonts w:ascii="宋体" w:hAnsi="宋体" w:cs="宋体" w:eastAsia="宋体" w:hint="default"/>
                <w:sz w:val="18"/>
                <w:szCs w:val="18"/>
              </w:rPr>
              <w:t>14.35</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2"/>
                <w:sz w:val="18"/>
                <w:szCs w:val="18"/>
              </w:rPr>
              <w:t>亿元，其中移动信息即时通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信服务营收 13.60</w:t>
            </w:r>
            <w:r>
              <w:rPr>
                <w:rFonts w:ascii="宋体" w:hAnsi="宋体" w:cs="宋体" w:eastAsia="宋体" w:hint="default"/>
                <w:spacing w:val="-55"/>
                <w:sz w:val="18"/>
                <w:szCs w:val="18"/>
              </w:rPr>
              <w:t> </w:t>
            </w:r>
            <w:r>
              <w:rPr>
                <w:rFonts w:ascii="宋体" w:hAnsi="宋体" w:cs="宋体" w:eastAsia="宋体" w:hint="default"/>
                <w:sz w:val="18"/>
                <w:szCs w:val="18"/>
              </w:rPr>
              <w:t>亿元，同</w:t>
            </w:r>
            <w:r>
              <w:rPr>
                <w:rFonts w:ascii="宋体" w:hAnsi="宋体" w:cs="宋体" w:eastAsia="宋体" w:hint="default"/>
                <w:sz w:val="18"/>
                <w:szCs w:val="18"/>
              </w:rPr>
              <w:t> </w:t>
            </w:r>
            <w:r>
              <w:rPr>
                <w:rFonts w:ascii="宋体" w:hAnsi="宋体" w:cs="宋体" w:eastAsia="宋体" w:hint="default"/>
                <w:spacing w:val="2"/>
                <w:sz w:val="18"/>
                <w:szCs w:val="18"/>
              </w:rPr>
              <w:t>比增幅</w:t>
            </w:r>
            <w:r>
              <w:rPr>
                <w:rFonts w:ascii="宋体" w:hAnsi="宋体" w:cs="宋体" w:eastAsia="宋体" w:hint="default"/>
                <w:spacing w:val="21"/>
                <w:sz w:val="18"/>
                <w:szCs w:val="18"/>
              </w:rPr>
              <w:t> </w:t>
            </w:r>
            <w:r>
              <w:rPr>
                <w:rFonts w:ascii="宋体" w:hAnsi="宋体" w:cs="宋体" w:eastAsia="宋体" w:hint="default"/>
                <w:sz w:val="18"/>
                <w:szCs w:val="18"/>
              </w:rPr>
              <w:t>251.49%，毛利率为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32.25%。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8"/>
              <w:jc w:val="both"/>
              <w:rPr>
                <w:rFonts w:ascii="宋体" w:hAnsi="宋体" w:cs="宋体" w:eastAsia="宋体" w:hint="default"/>
                <w:sz w:val="18"/>
                <w:szCs w:val="18"/>
              </w:rPr>
            </w:pPr>
            <w:r>
              <w:rPr>
                <w:rFonts w:ascii="宋体" w:hAnsi="宋体" w:cs="宋体" w:eastAsia="宋体" w:hint="default"/>
                <w:sz w:val="18"/>
                <w:szCs w:val="18"/>
              </w:rPr>
              <w:t>梦网科技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年中期营收</w:t>
            </w:r>
            <w:r>
              <w:rPr>
                <w:rFonts w:ascii="宋体" w:hAnsi="宋体" w:cs="宋体" w:eastAsia="宋体" w:hint="default"/>
                <w:spacing w:val="-46"/>
                <w:sz w:val="18"/>
                <w:szCs w:val="18"/>
              </w:rPr>
              <w:t> </w:t>
            </w:r>
            <w:r>
              <w:rPr>
                <w:rFonts w:ascii="宋体" w:hAnsi="宋体" w:cs="宋体" w:eastAsia="宋体" w:hint="default"/>
                <w:sz w:val="18"/>
                <w:szCs w:val="18"/>
              </w:rPr>
              <w:t>8.33</w:t>
            </w:r>
            <w:r>
              <w:rPr>
                <w:rFonts w:ascii="宋体" w:hAnsi="宋体" w:cs="宋体" w:eastAsia="宋体" w:hint="default"/>
                <w:sz w:val="18"/>
                <w:szCs w:val="18"/>
              </w:rPr>
              <w:t> </w:t>
            </w:r>
            <w:r>
              <w:rPr>
                <w:rFonts w:ascii="宋体" w:hAnsi="宋体" w:cs="宋体" w:eastAsia="宋体" w:hint="default"/>
                <w:spacing w:val="-4"/>
                <w:sz w:val="18"/>
                <w:szCs w:val="18"/>
              </w:rPr>
              <w:t>亿元，其中移动信息即时通信服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务营收 </w:t>
            </w:r>
            <w:r>
              <w:rPr>
                <w:rFonts w:ascii="宋体" w:hAnsi="宋体" w:cs="宋体" w:eastAsia="宋体" w:hint="default"/>
                <w:sz w:val="18"/>
                <w:szCs w:val="18"/>
              </w:rPr>
              <w:t>7.19</w:t>
            </w:r>
            <w:r>
              <w:rPr>
                <w:rFonts w:ascii="宋体" w:hAnsi="宋体" w:cs="宋体" w:eastAsia="宋体" w:hint="default"/>
                <w:spacing w:val="19"/>
                <w:sz w:val="18"/>
                <w:szCs w:val="18"/>
              </w:rPr>
              <w:t> </w:t>
            </w:r>
            <w:r>
              <w:rPr>
                <w:rFonts w:ascii="宋体" w:hAnsi="宋体" w:cs="宋体" w:eastAsia="宋体" w:hint="default"/>
                <w:spacing w:val="11"/>
                <w:sz w:val="18"/>
                <w:szCs w:val="18"/>
              </w:rPr>
              <w:t>亿元，同比增幅</w:t>
            </w:r>
            <w:r>
              <w:rPr>
                <w:rFonts w:ascii="宋体" w:hAnsi="宋体" w:cs="宋体" w:eastAsia="宋体" w:hint="default"/>
                <w:sz w:val="18"/>
                <w:szCs w:val="18"/>
              </w:rPr>
              <w:t> 60.22%，毛利率为</w:t>
            </w:r>
            <w:r>
              <w:rPr>
                <w:rFonts w:ascii="宋体" w:hAnsi="宋体" w:cs="宋体" w:eastAsia="宋体" w:hint="default"/>
                <w:spacing w:val="-46"/>
                <w:sz w:val="18"/>
                <w:szCs w:val="18"/>
              </w:rPr>
              <w:t> </w:t>
            </w:r>
            <w:r>
              <w:rPr>
                <w:rFonts w:ascii="宋体" w:hAnsi="宋体" w:cs="宋体" w:eastAsia="宋体" w:hint="default"/>
                <w:sz w:val="18"/>
                <w:szCs w:val="18"/>
              </w:rPr>
              <w:t>31.28%。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尚未发布</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年度报告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6"/>
              <w:jc w:val="left"/>
              <w:rPr>
                <w:rFonts w:ascii="宋体" w:hAnsi="宋体" w:cs="宋体" w:eastAsia="宋体" w:hint="default"/>
                <w:sz w:val="18"/>
                <w:szCs w:val="18"/>
              </w:rPr>
            </w:pPr>
            <w:r>
              <w:rPr>
                <w:rFonts w:ascii="宋体" w:hAnsi="宋体" w:cs="宋体" w:eastAsia="宋体" w:hint="default"/>
                <w:sz w:val="18"/>
                <w:szCs w:val="18"/>
              </w:rPr>
              <w:t>梦 网 集</w:t>
            </w:r>
            <w:r>
              <w:rPr>
                <w:rFonts w:ascii="宋体" w:hAnsi="宋体" w:cs="宋体" w:eastAsia="宋体" w:hint="default"/>
                <w:spacing w:val="65"/>
                <w:sz w:val="18"/>
                <w:szCs w:val="18"/>
              </w:rPr>
              <w:t> </w:t>
            </w:r>
            <w:r>
              <w:rPr>
                <w:rFonts w:ascii="宋体" w:hAnsi="宋体" w:cs="宋体" w:eastAsia="宋体" w:hint="default"/>
                <w:sz w:val="18"/>
                <w:szCs w:val="18"/>
              </w:rPr>
              <w:t>团</w:t>
            </w:r>
            <w:r>
              <w:rPr>
                <w:rFonts w:ascii="宋体" w:hAnsi="宋体" w:cs="宋体" w:eastAsia="宋体" w:hint="default"/>
                <w:sz w:val="18"/>
                <w:szCs w:val="18"/>
              </w:rPr>
              <w:t> 2016</w:t>
            </w:r>
            <w:r>
              <w:rPr>
                <w:rFonts w:ascii="宋体" w:hAnsi="宋体" w:cs="宋体" w:eastAsia="宋体"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报</w:t>
            </w:r>
            <w:r>
              <w:rPr>
                <w:rFonts w:ascii="宋体" w:hAnsi="宋体" w:cs="宋体" w:eastAsia="宋体" w:hint="default"/>
                <w:spacing w:val="-66"/>
                <w:sz w:val="18"/>
                <w:szCs w:val="18"/>
              </w:rPr>
              <w:t> </w:t>
            </w:r>
            <w:r>
              <w:rPr>
                <w:rFonts w:ascii="宋体" w:hAnsi="宋体" w:cs="宋体" w:eastAsia="宋体" w:hint="default"/>
                <w:sz w:val="18"/>
                <w:szCs w:val="18"/>
              </w:rPr>
              <w:t>、</w:t>
            </w:r>
          </w:p>
          <w:p>
            <w:pPr>
              <w:pStyle w:val="TableParagraph"/>
              <w:spacing w:line="232" w:lineRule="exact" w:before="3"/>
              <w:ind w:left="103" w:right="9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半</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z w:val="18"/>
                <w:szCs w:val="18"/>
              </w:rPr>
              <w:t> 报。</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1、2016</w:t>
            </w:r>
            <w:r>
              <w:rPr>
                <w:rFonts w:ascii="宋体" w:hAnsi="宋体" w:cs="宋体" w:eastAsia="宋体" w:hint="default"/>
                <w:spacing w:val="-45"/>
                <w:sz w:val="18"/>
                <w:szCs w:val="18"/>
              </w:rPr>
              <w:t> </w:t>
            </w:r>
            <w:r>
              <w:rPr>
                <w:rFonts w:ascii="宋体" w:hAnsi="宋体" w:cs="宋体" w:eastAsia="宋体" w:hint="default"/>
                <w:sz w:val="18"/>
                <w:szCs w:val="18"/>
              </w:rPr>
              <w:t>年梦网科技移动信息即时通信服务营收同比增幅</w:t>
            </w:r>
            <w:r>
              <w:rPr>
                <w:rFonts w:ascii="宋体" w:hAnsi="宋体" w:cs="宋体" w:eastAsia="宋体" w:hint="default"/>
                <w:spacing w:val="-46"/>
                <w:sz w:val="18"/>
                <w:szCs w:val="18"/>
              </w:rPr>
              <w:t> </w:t>
            </w:r>
            <w:r>
              <w:rPr>
                <w:rFonts w:ascii="宋体" w:hAnsi="宋体" w:cs="宋体" w:eastAsia="宋体" w:hint="default"/>
                <w:sz w:val="18"/>
                <w:szCs w:val="18"/>
              </w:rPr>
              <w:t>251.49%是因</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年数据是</w:t>
            </w:r>
            <w:r>
              <w:rPr>
                <w:rFonts w:ascii="宋体" w:hAnsi="宋体" w:cs="宋体" w:eastAsia="宋体" w:hint="default"/>
                <w:spacing w:val="-48"/>
                <w:sz w:val="18"/>
                <w:szCs w:val="18"/>
              </w:rPr>
              <w:t> </w:t>
            </w: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月份合并数。</w:t>
            </w:r>
          </w:p>
        </w:tc>
      </w:tr>
    </w:tbl>
    <w:p>
      <w:pPr>
        <w:spacing w:line="240" w:lineRule="auto" w:before="2"/>
        <w:rPr>
          <w:rFonts w:ascii="宋体" w:hAnsi="宋体" w:cs="宋体" w:eastAsia="宋体" w:hint="default"/>
          <w:sz w:val="20"/>
          <w:szCs w:val="20"/>
        </w:rPr>
      </w:pPr>
    </w:p>
    <w:p>
      <w:pPr>
        <w:pStyle w:val="BodyText"/>
        <w:spacing w:line="273" w:lineRule="auto" w:before="36"/>
        <w:ind w:left="393" w:right="342" w:firstLine="420"/>
        <w:jc w:val="left"/>
      </w:pPr>
      <w:r>
        <w:rPr/>
        <w:t>3、企业对个人的短信仍在持续上升。据国家工信部网站报告显示，在</w:t>
      </w:r>
      <w:r>
        <w:rPr>
          <w:spacing w:val="-58"/>
        </w:rPr>
        <w:t> </w:t>
      </w:r>
      <w:r>
        <w:rPr/>
        <w:t>2013—2017</w:t>
      </w:r>
      <w:r>
        <w:rPr>
          <w:spacing w:val="-60"/>
        </w:rPr>
        <w:t> </w:t>
      </w:r>
      <w:r>
        <w:rPr/>
        <w:t>五年里，受</w:t>
      </w:r>
      <w:r>
        <w:rPr>
          <w:w w:val="100"/>
        </w:rPr>
        <w:t> </w:t>
      </w:r>
      <w:r>
        <w:rPr>
          <w:color w:val="070707"/>
          <w:spacing w:val="-4"/>
        </w:rPr>
        <w:t>移动用户主动发起的点对点短信量逐年下降影响，</w:t>
      </w:r>
      <w:r>
        <w:rPr>
          <w:spacing w:val="-4"/>
        </w:rPr>
        <w:t>同比降幅分别为 </w:t>
      </w:r>
      <w:r>
        <w:rPr>
          <w:spacing w:val="-10"/>
        </w:rPr>
        <w:t>0.6%、14.0%、8.9%、4.6%、0.4%，</w:t>
      </w:r>
      <w:r>
        <w:rPr>
          <w:spacing w:val="-71"/>
        </w:rPr>
        <w:t> </w:t>
      </w:r>
      <w:r>
        <w:rPr>
          <w:spacing w:val="-71"/>
        </w:rPr>
      </w:r>
      <w:r>
        <w:rPr/>
        <w:t>2017</w:t>
      </w:r>
      <w:r>
        <w:rPr>
          <w:spacing w:val="-56"/>
        </w:rPr>
        <w:t> </w:t>
      </w:r>
      <w:r>
        <w:rPr/>
        <w:t>年是自</w:t>
      </w:r>
      <w:r>
        <w:rPr>
          <w:spacing w:val="-54"/>
        </w:rPr>
        <w:t> </w:t>
      </w:r>
      <w:r>
        <w:rPr/>
        <w:t>2013</w:t>
      </w:r>
      <w:r>
        <w:rPr>
          <w:spacing w:val="-54"/>
        </w:rPr>
        <w:t> </w:t>
      </w:r>
      <w:r>
        <w:rPr/>
        <w:t>年以来连续五年下降中最小的。2017</w:t>
      </w:r>
      <w:r>
        <w:rPr>
          <w:spacing w:val="-54"/>
        </w:rPr>
        <w:t> </w:t>
      </w:r>
      <w:r>
        <w:rPr/>
        <w:t>年</w:t>
      </w:r>
      <w:r>
        <w:rPr>
          <w:color w:val="070707"/>
        </w:rPr>
      </w:r>
      <w:r>
        <w:rPr>
          <w:color w:val="070707"/>
          <w:shd w:fill="F9F9F9" w:color="auto" w:val="clear"/>
        </w:rPr>
        <w:t>全国移动短信业务量</w:t>
      </w:r>
      <w:r>
        <w:rPr>
          <w:color w:val="070707"/>
          <w:spacing w:val="-54"/>
          <w:shd w:fill="F9F9F9" w:color="auto" w:val="clear"/>
        </w:rPr>
        <w:t> </w:t>
      </w:r>
      <w:r>
        <w:rPr>
          <w:color w:val="070707"/>
          <w:shd w:fill="F9F9F9" w:color="auto" w:val="clear"/>
        </w:rPr>
        <w:t>6,644</w:t>
      </w:r>
      <w:r>
        <w:rPr>
          <w:color w:val="070707"/>
          <w:spacing w:val="-54"/>
          <w:shd w:fill="F9F9F9" w:color="auto" w:val="clear"/>
        </w:rPr>
        <w:t> </w:t>
      </w:r>
      <w:r>
        <w:rPr>
          <w:color w:val="070707"/>
          <w:spacing w:val="-3"/>
          <w:shd w:fill="F9F9F9" w:color="auto" w:val="clear"/>
        </w:rPr>
        <w:t>亿条，比上年</w:t>
      </w:r>
      <w:r>
        <w:rPr>
          <w:color w:val="070707"/>
          <w:w w:val="100"/>
        </w:rPr>
      </w:r>
      <w:r>
        <w:rPr>
          <w:color w:val="070707"/>
          <w:w w:val="100"/>
        </w:rPr>
        <w:t> </w:t>
      </w:r>
      <w:r>
        <w:rPr>
          <w:color w:val="070707"/>
          <w:shd w:fill="F9F9F9" w:color="auto" w:val="clear"/>
        </w:rPr>
        <w:t>减少</w:t>
      </w:r>
      <w:r>
        <w:rPr>
          <w:color w:val="070707"/>
          <w:spacing w:val="-59"/>
          <w:shd w:fill="F9F9F9" w:color="auto" w:val="clear"/>
        </w:rPr>
        <w:t> </w:t>
      </w:r>
      <w:r>
        <w:rPr>
          <w:color w:val="070707"/>
          <w:shd w:fill="F9F9F9" w:color="auto" w:val="clear"/>
        </w:rPr>
        <w:t>0.4%，其中，由移动用户主动发起的点对点短信量比上年减少</w:t>
      </w:r>
      <w:r>
        <w:rPr>
          <w:color w:val="070707"/>
          <w:spacing w:val="-59"/>
          <w:shd w:fill="F9F9F9" w:color="auto" w:val="clear"/>
        </w:rPr>
        <w:t> </w:t>
      </w:r>
      <w:r>
        <w:rPr>
          <w:color w:val="070707"/>
          <w:shd w:fill="F9F9F9" w:color="auto" w:val="clear"/>
        </w:rPr>
        <w:t>30.2%</w:t>
      </w:r>
      <w:r>
        <w:rPr>
          <w:color w:val="070707"/>
        </w:rPr>
      </w:r>
      <w:r>
        <w:rPr/>
        <w:t>。这说明全国企事业单位</w:t>
      </w:r>
      <w:r>
        <w:rPr>
          <w:w w:val="100"/>
        </w:rPr>
        <w:t> </w:t>
      </w:r>
      <w:r>
        <w:rPr/>
        <w:t>与个人之间移动短信业务量在逐年持续上升，2017</w:t>
      </w:r>
      <w:r>
        <w:rPr>
          <w:spacing w:val="-61"/>
        </w:rPr>
        <w:t> </w:t>
      </w:r>
      <w:r>
        <w:rPr/>
        <w:t>年的上升幅度超过</w:t>
      </w:r>
      <w:r>
        <w:rPr>
          <w:spacing w:val="-59"/>
        </w:rPr>
        <w:t> </w:t>
      </w:r>
      <w:r>
        <w:rPr/>
        <w:t>30%。个人微信使用替代个人</w:t>
      </w:r>
      <w:r>
        <w:rPr>
          <w:w w:val="100"/>
        </w:rPr>
        <w:t> </w:t>
      </w:r>
      <w:r>
        <w:rPr>
          <w:spacing w:val="-5"/>
        </w:rPr>
        <w:t>短信明显，但是尚不可替代企业对个人的短信。由于短信等移动信息服务具有操作方便、传播快捷、</w:t>
      </w:r>
      <w:r>
        <w:rPr>
          <w:spacing w:val="-12"/>
        </w:rPr>
        <w:t> </w:t>
      </w:r>
      <w:r>
        <w:rPr>
          <w:spacing w:val="-12"/>
        </w:rPr>
      </w:r>
      <w:r>
        <w:rPr/>
        <w:t>到达精准、费用较低、安全可靠、及时准确等优点，越来越多的企业利用短信来发布确认消息、市</w:t>
      </w:r>
      <w:r>
        <w:rPr>
          <w:w w:val="100"/>
        </w:rPr>
        <w:t> </w:t>
      </w:r>
      <w:r>
        <w:rPr/>
        <w:t>场信息、服务客户。随着通信技术和信息技术的快速发展、智能手机的日益普及和移动应用的不断</w:t>
      </w:r>
      <w:r>
        <w:rPr>
          <w:w w:val="100"/>
        </w:rPr>
        <w:t> </w:t>
      </w:r>
      <w:r>
        <w:rPr/>
        <w:t>丰富，个人对各类信息需求的不断上升，企业移动信息服务行业发展趋势良好，市场空间广阔。创</w:t>
      </w:r>
      <w:r>
        <w:rPr>
          <w:w w:val="100"/>
        </w:rPr>
        <w:t> </w:t>
      </w:r>
      <w:r>
        <w:rPr/>
        <w:t>世漫道</w:t>
      </w:r>
      <w:r>
        <w:rPr>
          <w:spacing w:val="-50"/>
        </w:rPr>
        <w:t> </w:t>
      </w:r>
      <w:r>
        <w:rPr/>
        <w:t>2015—2017</w:t>
      </w:r>
      <w:r>
        <w:rPr>
          <w:spacing w:val="-48"/>
        </w:rPr>
        <w:t> </w:t>
      </w:r>
      <w:r>
        <w:rPr/>
        <w:t>年发送的短信数量分别较上年增加了</w:t>
      </w:r>
      <w:r>
        <w:rPr>
          <w:spacing w:val="-48"/>
        </w:rPr>
        <w:t> </w:t>
      </w:r>
      <w:r>
        <w:rPr/>
        <w:t>45.69</w:t>
      </w:r>
      <w:r>
        <w:rPr>
          <w:spacing w:val="-50"/>
        </w:rPr>
        <w:t> </w:t>
      </w:r>
      <w:r>
        <w:rPr/>
        <w:t>亿条、15.33</w:t>
      </w:r>
      <w:r>
        <w:rPr>
          <w:spacing w:val="-50"/>
        </w:rPr>
        <w:t> </w:t>
      </w:r>
      <w:r>
        <w:rPr/>
        <w:t>亿条和</w:t>
      </w:r>
      <w:r>
        <w:rPr>
          <w:spacing w:val="-50"/>
        </w:rPr>
        <w:t> </w:t>
      </w:r>
      <w:r>
        <w:rPr/>
        <w:t>60</w:t>
      </w:r>
      <w:r>
        <w:rPr>
          <w:spacing w:val="-48"/>
        </w:rPr>
        <w:t> </w:t>
      </w:r>
      <w:r>
        <w:rPr/>
        <w:t>余亿条，业</w:t>
      </w:r>
      <w:r>
        <w:rPr>
          <w:w w:val="100"/>
        </w:rPr>
        <w:t> </w:t>
      </w:r>
      <w:r>
        <w:rPr/>
        <w:t>务规模持续扩大，仍将关注技术发展和竞争对手的经营情况，继续保持和确认在行业发展中的领先</w:t>
      </w:r>
    </w:p>
    <w:p>
      <w:pPr>
        <w:spacing w:after="0" w:line="273" w:lineRule="auto"/>
        <w:jc w:val="left"/>
        <w:sectPr>
          <w:pgSz w:w="11910" w:h="16840"/>
          <w:pgMar w:header="884" w:footer="1000" w:top="1140" w:bottom="1200" w:left="1080" w:right="960"/>
        </w:sectPr>
      </w:pPr>
    </w:p>
    <w:p>
      <w:pPr>
        <w:pStyle w:val="BodyText"/>
        <w:spacing w:line="240" w:lineRule="auto" w:before="131"/>
        <w:ind w:left="393" w:right="1174"/>
        <w:jc w:val="left"/>
      </w:pPr>
      <w:r>
        <w:rPr/>
        <w:t>地位。</w:t>
      </w:r>
    </w:p>
    <w:p>
      <w:pPr>
        <w:pStyle w:val="BodyText"/>
        <w:spacing w:line="273" w:lineRule="auto" w:before="99"/>
        <w:ind w:left="393" w:right="342" w:firstLine="420"/>
        <w:jc w:val="left"/>
      </w:pPr>
      <w:r>
        <w:rPr/>
        <w:t>4、随着技术进步、社会发展、人们对生活质量的体验升华，信息智能传输的市场空间广阔，</w:t>
      </w:r>
      <w:r>
        <w:rPr>
          <w:w w:val="100"/>
        </w:rPr>
        <w:t> </w:t>
      </w:r>
      <w:r>
        <w:rPr/>
        <w:t>公司信息传输业务将保持增加市场份额，以持续研发、提升技术和服务水平保持着对国内主要竞争</w:t>
      </w:r>
      <w:r>
        <w:rPr>
          <w:w w:val="100"/>
        </w:rPr>
        <w:t> </w:t>
      </w:r>
      <w:r>
        <w:rPr>
          <w:spacing w:val="-5"/>
        </w:rPr>
        <w:t>对手的竞争力，保持在行业中的优势。创世漫道将继续寻求与运营商的合作，提升技术和服务水平，</w:t>
      </w:r>
      <w:r>
        <w:rPr>
          <w:spacing w:val="-13"/>
        </w:rPr>
        <w:t> </w:t>
      </w:r>
      <w:r>
        <w:rPr>
          <w:spacing w:val="-13"/>
        </w:rPr>
      </w:r>
      <w:r>
        <w:rPr/>
        <w:t>应对客户有意控制费用的困难，将增加公司未来经营业绩和盈利能力。</w:t>
      </w:r>
    </w:p>
    <w:p>
      <w:pPr>
        <w:pStyle w:val="BodyText"/>
        <w:spacing w:line="273" w:lineRule="auto" w:before="164"/>
        <w:ind w:left="813" w:right="342"/>
        <w:jc w:val="left"/>
      </w:pPr>
      <w:r>
        <w:rPr/>
        <w:t>(二)</w:t>
      </w:r>
      <w:r>
        <w:rPr>
          <w:spacing w:val="-2"/>
        </w:rPr>
        <w:t> </w:t>
      </w:r>
      <w:r>
        <w:rPr/>
        <w:t>通信网络维护服务的行业格局和趋势</w:t>
      </w:r>
      <w:r>
        <w:rPr>
          <w:w w:val="100"/>
        </w:rPr>
        <w:t> </w:t>
      </w:r>
      <w:r>
        <w:rPr>
          <w:spacing w:val="-2"/>
        </w:rPr>
        <w:t>公司通信网络维护服务由全资子公司长实通信主营。通信技术服务商大致可以分为三种类型：</w:t>
      </w:r>
    </w:p>
    <w:p>
      <w:pPr>
        <w:pStyle w:val="BodyText"/>
        <w:spacing w:line="273" w:lineRule="auto"/>
        <w:ind w:left="393" w:right="342"/>
        <w:jc w:val="left"/>
      </w:pPr>
      <w:r>
        <w:rPr/>
        <w:t>综合性、专一性和区域性。目前我国通信网络技术服务企业数量较多，但是包括长实通信在内同时</w:t>
      </w:r>
      <w:r>
        <w:rPr>
          <w:w w:val="100"/>
        </w:rPr>
        <w:t> </w:t>
      </w:r>
      <w:r>
        <w:rPr/>
        <w:t>具有网络代维基站、线路和综合代维三个甲级资质及通信网络代维(外包)企业铁塔专业甲级资质的</w:t>
      </w:r>
      <w:r>
        <w:rPr>
          <w:w w:val="100"/>
        </w:rPr>
        <w:t> </w:t>
      </w:r>
      <w:r>
        <w:rPr>
          <w:spacing w:val="-5"/>
        </w:rPr>
        <w:t>企业很少。其中，中国铁塔股份有限公司作为中国电信控股子公司，规模和市场份额处于领先地位。</w:t>
      </w:r>
      <w:r>
        <w:rPr>
          <w:spacing w:val="-16"/>
        </w:rPr>
        <w:t> </w:t>
      </w:r>
      <w:r>
        <w:rPr>
          <w:spacing w:val="-16"/>
        </w:rPr>
      </w:r>
      <w:r>
        <w:rPr>
          <w:spacing w:val="-5"/>
        </w:rPr>
        <w:t>其他第三方通信技术服务商，除包括长实通信在内的少数几家起步早、技术领先的企业具有跨区域、</w:t>
      </w:r>
      <w:r>
        <w:rPr>
          <w:spacing w:val="-16"/>
        </w:rPr>
        <w:t> </w:t>
      </w:r>
      <w:r>
        <w:rPr>
          <w:spacing w:val="-16"/>
        </w:rPr>
      </w:r>
      <w:r>
        <w:rPr/>
        <w:t>综合运维服务能力外，大多数服务商业务范围较为狭窄、综合实力较弱、规模较小，主要集中在单</w:t>
      </w:r>
      <w:r>
        <w:rPr>
          <w:w w:val="100"/>
        </w:rPr>
        <w:t> </w:t>
      </w:r>
      <w:r>
        <w:rPr/>
        <w:t>一地区，以本地服务为主，地域特性显著。</w:t>
      </w:r>
    </w:p>
    <w:p>
      <w:pPr>
        <w:pStyle w:val="BodyText"/>
        <w:spacing w:line="273" w:lineRule="auto" w:before="70"/>
        <w:ind w:left="393" w:right="347" w:firstLine="420"/>
        <w:jc w:val="both"/>
      </w:pPr>
      <w:r>
        <w:rPr/>
        <w:t>1、长实通信专业、专注于通信网路维护业务，对通信运营商所拥有的网络资源包括基站、线</w:t>
      </w:r>
      <w:r>
        <w:rPr>
          <w:w w:val="100"/>
        </w:rPr>
        <w:t> </w:t>
      </w:r>
      <w:r>
        <w:rPr>
          <w:spacing w:val="-4"/>
        </w:rPr>
        <w:t>路、宽带接入、固定电话接入、WLAN </w:t>
      </w:r>
      <w:r>
        <w:rPr>
          <w:spacing w:val="-3"/>
        </w:rPr>
        <w:t>的运行等实行运行管理、故障维修及日常维护、适时优化等全</w:t>
      </w:r>
      <w:r>
        <w:rPr>
          <w:spacing w:val="-81"/>
        </w:rPr>
        <w:t> </w:t>
      </w:r>
      <w:r>
        <w:rPr>
          <w:spacing w:val="-81"/>
        </w:rPr>
      </w:r>
      <w:r>
        <w:rPr/>
        <w:t>方位的专业技术服务，保障网络正常运行，提高通信网络质量安全和运行效率。报告期长实通信的</w:t>
      </w:r>
      <w:r>
        <w:rPr>
          <w:w w:val="100"/>
        </w:rPr>
        <w:t> </w:t>
      </w:r>
      <w:r>
        <w:rPr/>
        <w:t>业务范围已由上年的</w:t>
      </w:r>
      <w:r>
        <w:rPr>
          <w:spacing w:val="-51"/>
        </w:rPr>
        <w:t> </w:t>
      </w:r>
      <w:r>
        <w:rPr/>
        <w:t>19</w:t>
      </w:r>
      <w:r>
        <w:rPr>
          <w:spacing w:val="-53"/>
        </w:rPr>
        <w:t> </w:t>
      </w:r>
      <w:r>
        <w:rPr/>
        <w:t>个省区扩展至本期的</w:t>
      </w:r>
      <w:r>
        <w:rPr>
          <w:spacing w:val="-51"/>
        </w:rPr>
        <w:t> </w:t>
      </w:r>
      <w:r>
        <w:rPr/>
        <w:t>25</w:t>
      </w:r>
      <w:r>
        <w:rPr>
          <w:spacing w:val="-51"/>
        </w:rPr>
        <w:t> </w:t>
      </w:r>
      <w:r>
        <w:rPr>
          <w:spacing w:val="-3"/>
        </w:rPr>
        <w:t>个省区，其中已覆盖铁塔公司</w:t>
      </w:r>
      <w:r>
        <w:rPr>
          <w:spacing w:val="-51"/>
        </w:rPr>
        <w:t> </w:t>
      </w:r>
      <w:r>
        <w:rPr/>
        <w:t>18</w:t>
      </w:r>
      <w:r>
        <w:rPr>
          <w:spacing w:val="-51"/>
        </w:rPr>
        <w:t> </w:t>
      </w:r>
      <w:r>
        <w:rPr/>
        <w:t>个省的业务范围。</w:t>
      </w:r>
    </w:p>
    <w:p>
      <w:pPr>
        <w:pStyle w:val="BodyText"/>
        <w:spacing w:line="240" w:lineRule="auto"/>
        <w:ind w:left="393" w:right="342"/>
        <w:jc w:val="left"/>
      </w:pPr>
      <w:r>
        <w:rPr/>
        <w:t>2015</w:t>
      </w:r>
      <w:r>
        <w:rPr>
          <w:spacing w:val="-39"/>
        </w:rPr>
        <w:t> </w:t>
      </w:r>
      <w:r>
        <w:rPr/>
        <w:t>年重组至</w:t>
      </w:r>
      <w:r>
        <w:rPr>
          <w:spacing w:val="-39"/>
        </w:rPr>
        <w:t> </w:t>
      </w:r>
      <w:r>
        <w:rPr/>
        <w:t>2017</w:t>
      </w:r>
      <w:r>
        <w:rPr>
          <w:spacing w:val="-39"/>
        </w:rPr>
        <w:t> </w:t>
      </w:r>
      <w:r>
        <w:rPr/>
        <w:t>年，通信网络维护实现营业收入分别为</w:t>
      </w:r>
      <w:r>
        <w:rPr>
          <w:spacing w:val="-39"/>
        </w:rPr>
        <w:t> </w:t>
      </w:r>
      <w:r>
        <w:rPr/>
        <w:t>114,466.67</w:t>
      </w:r>
      <w:r>
        <w:rPr>
          <w:spacing w:val="-42"/>
        </w:rPr>
        <w:t> </w:t>
      </w:r>
      <w:r>
        <w:rPr/>
        <w:t>万元、120,361.18</w:t>
      </w:r>
      <w:r>
        <w:rPr>
          <w:spacing w:val="-39"/>
        </w:rPr>
        <w:t> </w:t>
      </w:r>
      <w:r>
        <w:rPr/>
        <w:t>万元、</w:t>
      </w:r>
    </w:p>
    <w:p>
      <w:pPr>
        <w:pStyle w:val="BodyText"/>
        <w:spacing w:line="240" w:lineRule="auto" w:before="37"/>
        <w:ind w:left="393" w:right="1174"/>
        <w:jc w:val="left"/>
      </w:pPr>
      <w:r>
        <w:rPr/>
        <w:t>135,719.71</w:t>
      </w:r>
      <w:r>
        <w:rPr>
          <w:spacing w:val="-58"/>
        </w:rPr>
        <w:t> </w:t>
      </w:r>
      <w:r>
        <w:rPr/>
        <w:t>万元，业务规模继续扩大。</w:t>
      </w:r>
    </w:p>
    <w:p>
      <w:pPr>
        <w:pStyle w:val="BodyText"/>
        <w:spacing w:line="273" w:lineRule="auto" w:before="99"/>
        <w:ind w:left="393" w:right="342" w:firstLine="420"/>
        <w:jc w:val="left"/>
      </w:pPr>
      <w:r>
        <w:rPr/>
        <w:t>2、长实通信专注于网络维护业务，不涉及网络工程，网络优化业务趋于零。就通信网络维护</w:t>
      </w:r>
      <w:r>
        <w:rPr>
          <w:w w:val="100"/>
        </w:rPr>
        <w:t> </w:t>
      </w:r>
      <w:r>
        <w:rPr>
          <w:spacing w:val="-2"/>
        </w:rPr>
        <w:t>业务而言，长实通信的市场规模较大，盈利能力较强，与竞争对手经营收入、毛利率情况见下表：</w:t>
      </w:r>
    </w:p>
    <w:tbl>
      <w:tblPr>
        <w:tblW w:w="0" w:type="auto"/>
        <w:jc w:val="left"/>
        <w:tblInd w:w="105" w:type="dxa"/>
        <w:tblLayout w:type="fixed"/>
        <w:tblCellMar>
          <w:top w:w="0" w:type="dxa"/>
          <w:left w:w="0" w:type="dxa"/>
          <w:bottom w:w="0" w:type="dxa"/>
          <w:right w:w="0" w:type="dxa"/>
        </w:tblCellMar>
        <w:tblLook w:val="01E0"/>
      </w:tblPr>
      <w:tblGrid>
        <w:gridCol w:w="991"/>
        <w:gridCol w:w="2551"/>
        <w:gridCol w:w="2549"/>
        <w:gridCol w:w="2131"/>
        <w:gridCol w:w="1416"/>
      </w:tblGrid>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年上半年</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资料来源</w:t>
            </w:r>
          </w:p>
        </w:tc>
      </w:tr>
      <w:tr>
        <w:trPr>
          <w:trHeight w:val="94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both"/>
              <w:rPr>
                <w:rFonts w:ascii="宋体" w:hAnsi="宋体" w:cs="宋体" w:eastAsia="宋体" w:hint="default"/>
                <w:sz w:val="18"/>
                <w:szCs w:val="18"/>
              </w:rPr>
            </w:pPr>
            <w:r>
              <w:rPr>
                <w:rFonts w:ascii="宋体" w:hAnsi="宋体" w:cs="宋体" w:eastAsia="宋体" w:hint="default"/>
                <w:spacing w:val="14"/>
                <w:sz w:val="18"/>
                <w:szCs w:val="18"/>
              </w:rPr>
              <w:t>广东长实</w:t>
            </w:r>
            <w:r>
              <w:rPr>
                <w:rFonts w:ascii="宋体" w:hAnsi="宋体" w:cs="宋体" w:eastAsia="宋体" w:hint="default"/>
                <w:sz w:val="18"/>
                <w:szCs w:val="18"/>
              </w:rPr>
              <w:t> </w:t>
            </w:r>
            <w:r>
              <w:rPr>
                <w:rFonts w:ascii="宋体" w:hAnsi="宋体" w:cs="宋体" w:eastAsia="宋体" w:hint="default"/>
                <w:spacing w:val="14"/>
                <w:sz w:val="18"/>
                <w:szCs w:val="18"/>
              </w:rPr>
              <w:t>通信科技</w:t>
            </w:r>
            <w:r>
              <w:rPr>
                <w:rFonts w:ascii="宋体" w:hAnsi="宋体" w:cs="宋体" w:eastAsia="宋体" w:hint="default"/>
                <w:sz w:val="18"/>
                <w:szCs w:val="18"/>
              </w:rPr>
              <w:t> 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3"/>
              <w:jc w:val="both"/>
              <w:rPr>
                <w:rFonts w:ascii="宋体" w:hAnsi="宋体" w:cs="宋体" w:eastAsia="宋体" w:hint="default"/>
                <w:sz w:val="18"/>
                <w:szCs w:val="18"/>
              </w:rPr>
            </w:pPr>
            <w:r>
              <w:rPr>
                <w:rFonts w:ascii="宋体" w:hAnsi="宋体" w:cs="宋体" w:eastAsia="宋体" w:hint="default"/>
                <w:sz w:val="18"/>
                <w:szCs w:val="18"/>
              </w:rPr>
              <w:t>长实通信</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年营收(通信网</w:t>
            </w:r>
            <w:r>
              <w:rPr>
                <w:rFonts w:ascii="宋体" w:hAnsi="宋体" w:cs="宋体" w:eastAsia="宋体" w:hint="default"/>
                <w:sz w:val="18"/>
                <w:szCs w:val="18"/>
              </w:rPr>
              <w:t> 络维护) 12.04</w:t>
            </w:r>
            <w:r>
              <w:rPr>
                <w:rFonts w:ascii="宋体" w:hAnsi="宋体" w:cs="宋体" w:eastAsia="宋体" w:hint="default"/>
                <w:spacing w:val="-3"/>
                <w:sz w:val="18"/>
                <w:szCs w:val="18"/>
              </w:rPr>
              <w:t> </w:t>
            </w:r>
            <w:r>
              <w:rPr>
                <w:rFonts w:ascii="宋体" w:hAnsi="宋体" w:cs="宋体" w:eastAsia="宋体" w:hint="default"/>
                <w:sz w:val="18"/>
                <w:szCs w:val="18"/>
              </w:rPr>
              <w:t>亿元，同比增</w:t>
            </w:r>
            <w:r>
              <w:rPr>
                <w:rFonts w:ascii="宋体" w:hAnsi="宋体" w:cs="宋体" w:eastAsia="宋体" w:hint="default"/>
                <w:sz w:val="18"/>
                <w:szCs w:val="18"/>
              </w:rPr>
              <w:t> 幅</w:t>
            </w:r>
            <w:r>
              <w:rPr>
                <w:rFonts w:ascii="宋体" w:hAnsi="宋体" w:cs="宋体" w:eastAsia="宋体" w:hint="default"/>
                <w:spacing w:val="-45"/>
                <w:sz w:val="18"/>
                <w:szCs w:val="18"/>
              </w:rPr>
              <w:t> </w:t>
            </w:r>
            <w:r>
              <w:rPr>
                <w:rFonts w:ascii="宋体" w:hAnsi="宋体" w:cs="宋体" w:eastAsia="宋体" w:hint="default"/>
                <w:sz w:val="18"/>
                <w:szCs w:val="18"/>
              </w:rPr>
              <w:t>5.15%，毛利率为</w:t>
            </w:r>
            <w:r>
              <w:rPr>
                <w:rFonts w:ascii="宋体" w:hAnsi="宋体" w:cs="宋体" w:eastAsia="宋体" w:hint="default"/>
                <w:spacing w:val="-45"/>
                <w:sz w:val="18"/>
                <w:szCs w:val="18"/>
              </w:rPr>
              <w:t> </w:t>
            </w:r>
            <w:r>
              <w:rPr>
                <w:rFonts w:ascii="宋体" w:hAnsi="宋体" w:cs="宋体" w:eastAsia="宋体" w:hint="default"/>
                <w:sz w:val="18"/>
                <w:szCs w:val="18"/>
              </w:rPr>
              <w:t>20.05%。</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
              <w:jc w:val="both"/>
              <w:rPr>
                <w:rFonts w:ascii="宋体" w:hAnsi="宋体" w:cs="宋体" w:eastAsia="宋体" w:hint="default"/>
                <w:sz w:val="18"/>
                <w:szCs w:val="18"/>
              </w:rPr>
            </w:pPr>
            <w:r>
              <w:rPr>
                <w:rFonts w:ascii="宋体" w:hAnsi="宋体" w:cs="宋体" w:eastAsia="宋体" w:hint="default"/>
                <w:sz w:val="18"/>
                <w:szCs w:val="18"/>
              </w:rPr>
              <w:t>长实通信</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年中期营收(通</w:t>
            </w:r>
            <w:r>
              <w:rPr>
                <w:rFonts w:ascii="宋体" w:hAnsi="宋体" w:cs="宋体" w:eastAsia="宋体" w:hint="default"/>
                <w:sz w:val="18"/>
                <w:szCs w:val="18"/>
              </w:rPr>
              <w:t> 信网络维护)5.80</w:t>
            </w:r>
            <w:r>
              <w:rPr>
                <w:rFonts w:ascii="宋体" w:hAnsi="宋体" w:cs="宋体" w:eastAsia="宋体" w:hint="default"/>
                <w:spacing w:val="-7"/>
                <w:sz w:val="18"/>
                <w:szCs w:val="18"/>
              </w:rPr>
              <w:t> </w:t>
            </w:r>
            <w:r>
              <w:rPr>
                <w:rFonts w:ascii="宋体" w:hAnsi="宋体" w:cs="宋体" w:eastAsia="宋体" w:hint="default"/>
                <w:sz w:val="18"/>
                <w:szCs w:val="18"/>
              </w:rPr>
              <w:t>亿元，同比</w:t>
            </w:r>
            <w:r>
              <w:rPr>
                <w:rFonts w:ascii="宋体" w:hAnsi="宋体" w:cs="宋体" w:eastAsia="宋体" w:hint="default"/>
                <w:sz w:val="18"/>
                <w:szCs w:val="18"/>
              </w:rPr>
              <w:t> 降幅</w:t>
            </w:r>
            <w:r>
              <w:rPr>
                <w:rFonts w:ascii="宋体" w:hAnsi="宋体" w:cs="宋体" w:eastAsia="宋体" w:hint="default"/>
                <w:spacing w:val="-50"/>
                <w:sz w:val="18"/>
                <w:szCs w:val="18"/>
              </w:rPr>
              <w:t> </w:t>
            </w:r>
            <w:r>
              <w:rPr>
                <w:rFonts w:ascii="宋体" w:hAnsi="宋体" w:cs="宋体" w:eastAsia="宋体" w:hint="default"/>
                <w:spacing w:val="-9"/>
                <w:sz w:val="18"/>
                <w:szCs w:val="18"/>
              </w:rPr>
              <w:t>3.95%，毛利率为</w:t>
            </w:r>
            <w:r>
              <w:rPr>
                <w:rFonts w:ascii="宋体" w:hAnsi="宋体" w:cs="宋体" w:eastAsia="宋体" w:hint="default"/>
                <w:spacing w:val="-50"/>
                <w:sz w:val="18"/>
                <w:szCs w:val="18"/>
              </w:rPr>
              <w:t> </w:t>
            </w:r>
            <w:r>
              <w:rPr>
                <w:rFonts w:ascii="宋体" w:hAnsi="宋体" w:cs="宋体" w:eastAsia="宋体" w:hint="default"/>
                <w:sz w:val="18"/>
                <w:szCs w:val="18"/>
              </w:rPr>
              <w:t>19.74%。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长实通信 </w:t>
            </w:r>
            <w:r>
              <w:rPr>
                <w:rFonts w:ascii="宋体" w:hAnsi="宋体" w:cs="宋体" w:eastAsia="宋体" w:hint="default"/>
                <w:sz w:val="18"/>
                <w:szCs w:val="18"/>
              </w:rPr>
              <w:t>2017</w:t>
            </w:r>
            <w:r>
              <w:rPr>
                <w:rFonts w:ascii="宋体" w:hAnsi="宋体" w:cs="宋体" w:eastAsia="宋体" w:hint="default"/>
                <w:spacing w:val="21"/>
                <w:sz w:val="18"/>
                <w:szCs w:val="18"/>
              </w:rPr>
              <w:t> </w:t>
            </w:r>
            <w:r>
              <w:rPr>
                <w:rFonts w:ascii="宋体" w:hAnsi="宋体" w:cs="宋体" w:eastAsia="宋体" w:hint="default"/>
                <w:spacing w:val="10"/>
                <w:sz w:val="18"/>
                <w:szCs w:val="18"/>
              </w:rPr>
              <w:t>年营收</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(通信网络维护)13.57</w:t>
            </w:r>
            <w:r>
              <w:rPr>
                <w:rFonts w:ascii="宋体" w:hAnsi="宋体" w:cs="宋体" w:eastAsia="宋体" w:hint="default"/>
                <w:spacing w:val="-65"/>
                <w:sz w:val="18"/>
                <w:szCs w:val="18"/>
              </w:rPr>
              <w:t> </w:t>
            </w:r>
            <w:r>
              <w:rPr>
                <w:rFonts w:ascii="宋体" w:hAnsi="宋体" w:cs="宋体" w:eastAsia="宋体" w:hint="default"/>
                <w:sz w:val="18"/>
                <w:szCs w:val="18"/>
              </w:rPr>
              <w:t>亿</w:t>
            </w:r>
            <w:r>
              <w:rPr>
                <w:rFonts w:ascii="宋体" w:hAnsi="宋体" w:cs="宋体" w:eastAsia="宋体" w:hint="default"/>
                <w:sz w:val="18"/>
                <w:szCs w:val="18"/>
              </w:rPr>
              <w:t> </w:t>
            </w:r>
            <w:r>
              <w:rPr>
                <w:rFonts w:ascii="宋体" w:hAnsi="宋体" w:cs="宋体" w:eastAsia="宋体" w:hint="default"/>
                <w:spacing w:val="2"/>
                <w:sz w:val="18"/>
                <w:szCs w:val="18"/>
              </w:rPr>
              <w:t>元，同比增幅</w:t>
            </w:r>
            <w:r>
              <w:rPr>
                <w:rFonts w:ascii="宋体" w:hAnsi="宋体" w:cs="宋体" w:eastAsia="宋体" w:hint="default"/>
                <w:spacing w:val="9"/>
                <w:sz w:val="18"/>
                <w:szCs w:val="18"/>
              </w:rPr>
              <w:t> </w:t>
            </w:r>
            <w:r>
              <w:rPr>
                <w:rFonts w:ascii="宋体" w:hAnsi="宋体" w:cs="宋体" w:eastAsia="宋体" w:hint="default"/>
                <w:sz w:val="18"/>
                <w:szCs w:val="18"/>
              </w:rPr>
              <w:t>12.76%，</w:t>
            </w:r>
            <w:r>
              <w:rPr>
                <w:rFonts w:ascii="宋体" w:hAnsi="宋体" w:cs="宋体" w:eastAsia="宋体" w:hint="default"/>
                <w:sz w:val="18"/>
                <w:szCs w:val="18"/>
              </w:rPr>
              <w:t> 毛利率为</w:t>
            </w:r>
            <w:r>
              <w:rPr>
                <w:rFonts w:ascii="宋体" w:hAnsi="宋体" w:cs="宋体" w:eastAsia="宋体" w:hint="default"/>
                <w:spacing w:val="-44"/>
                <w:sz w:val="18"/>
                <w:szCs w:val="18"/>
              </w:rPr>
              <w:t> </w:t>
            </w:r>
            <w:r>
              <w:rPr>
                <w:rFonts w:ascii="宋体" w:hAnsi="宋体" w:cs="宋体" w:eastAsia="宋体" w:hint="default"/>
                <w:sz w:val="18"/>
                <w:szCs w:val="18"/>
              </w:rPr>
              <w:t>18.54%。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 2016</w:t>
            </w:r>
            <w:r>
              <w:rPr>
                <w:rFonts w:ascii="宋体" w:hAnsi="宋体" w:cs="宋体" w:eastAsia="宋体" w:hint="default"/>
                <w:spacing w:val="-56"/>
                <w:sz w:val="18"/>
                <w:szCs w:val="18"/>
              </w:rPr>
              <w:t> </w:t>
            </w:r>
            <w:r>
              <w:rPr>
                <w:rFonts w:ascii="宋体" w:hAnsi="宋体" w:cs="宋体" w:eastAsia="宋体" w:hint="default"/>
                <w:sz w:val="18"/>
                <w:szCs w:val="18"/>
              </w:rPr>
              <w:t>年</w:t>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2"/>
                <w:sz w:val="18"/>
                <w:szCs w:val="18"/>
              </w:rPr>
              <w:t>报、2017</w:t>
            </w:r>
            <w:r>
              <w:rPr>
                <w:rFonts w:ascii="宋体" w:hAnsi="宋体" w:cs="宋体" w:eastAsia="宋体" w:hint="default"/>
                <w:spacing w:val="14"/>
                <w:sz w:val="18"/>
                <w:szCs w:val="18"/>
              </w:rPr>
              <w:t> </w:t>
            </w:r>
            <w:r>
              <w:rPr>
                <w:rFonts w:ascii="宋体" w:hAnsi="宋体" w:cs="宋体" w:eastAsia="宋体" w:hint="default"/>
                <w:spacing w:val="3"/>
                <w:sz w:val="18"/>
                <w:szCs w:val="18"/>
              </w:rPr>
              <w:t>年半</w:t>
            </w:r>
            <w:r>
              <w:rPr>
                <w:rFonts w:ascii="宋体" w:hAnsi="宋体" w:cs="宋体" w:eastAsia="宋体" w:hint="default"/>
                <w:sz w:val="18"/>
                <w:szCs w:val="18"/>
              </w:rPr>
              <w:t> </w:t>
            </w:r>
            <w:r>
              <w:rPr>
                <w:rFonts w:ascii="宋体" w:hAnsi="宋体" w:cs="宋体" w:eastAsia="宋体" w:hint="default"/>
                <w:spacing w:val="3"/>
                <w:sz w:val="18"/>
                <w:szCs w:val="18"/>
              </w:rPr>
              <w:t>年报、2017</w:t>
            </w:r>
            <w:r>
              <w:rPr>
                <w:rFonts w:ascii="宋体" w:hAnsi="宋体" w:cs="宋体" w:eastAsia="宋体" w:hint="default"/>
                <w:spacing w:val="11"/>
                <w:sz w:val="18"/>
                <w:szCs w:val="18"/>
              </w:rPr>
              <w:t> </w:t>
            </w:r>
            <w:r>
              <w:rPr>
                <w:rFonts w:ascii="宋体" w:hAnsi="宋体" w:cs="宋体" w:eastAsia="宋体" w:hint="default"/>
                <w:sz w:val="18"/>
                <w:szCs w:val="18"/>
              </w:rPr>
              <w:t>年</w:t>
            </w:r>
            <w:r>
              <w:rPr>
                <w:rFonts w:ascii="宋体" w:hAnsi="宋体" w:cs="宋体" w:eastAsia="宋体" w:hint="default"/>
                <w:sz w:val="18"/>
                <w:szCs w:val="18"/>
              </w:rPr>
              <w:t> 报。</w:t>
            </w:r>
          </w:p>
        </w:tc>
      </w:tr>
      <w:tr>
        <w:trPr>
          <w:trHeight w:val="94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广东海格</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14"/>
                <w:sz w:val="18"/>
                <w:szCs w:val="18"/>
              </w:rPr>
              <w:t>怡创科技</w:t>
            </w:r>
            <w:r>
              <w:rPr>
                <w:rFonts w:ascii="宋体" w:hAnsi="宋体" w:cs="宋体" w:eastAsia="宋体" w:hint="default"/>
                <w:sz w:val="18"/>
                <w:szCs w:val="18"/>
              </w:rPr>
              <w:t> </w:t>
            </w:r>
            <w:r>
              <w:rPr>
                <w:rFonts w:ascii="宋体" w:hAnsi="宋体" w:cs="宋体" w:eastAsia="宋体" w:hint="default"/>
                <w:spacing w:val="14"/>
                <w:sz w:val="18"/>
                <w:szCs w:val="18"/>
              </w:rPr>
              <w:t>股份有限</w:t>
            </w:r>
            <w:r>
              <w:rPr>
                <w:rFonts w:ascii="宋体" w:hAnsi="宋体" w:cs="宋体" w:eastAsia="宋体" w:hint="default"/>
                <w:sz w:val="18"/>
                <w:szCs w:val="18"/>
              </w:rPr>
              <w:t> 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怡创科技</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年营收(包括通</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13"/>
                <w:sz w:val="18"/>
                <w:szCs w:val="18"/>
              </w:rPr>
              <w:t>信网络建设、维护、</w:t>
            </w:r>
            <w:r>
              <w:rPr>
                <w:rFonts w:ascii="宋体" w:hAnsi="宋体" w:cs="宋体" w:eastAsia="宋体" w:hint="default"/>
                <w:spacing w:val="-71"/>
                <w:sz w:val="18"/>
                <w:szCs w:val="18"/>
              </w:rPr>
              <w:t> </w:t>
            </w:r>
            <w:r>
              <w:rPr>
                <w:rFonts w:ascii="宋体" w:hAnsi="宋体" w:cs="宋体" w:eastAsia="宋体" w:hint="default"/>
                <w:spacing w:val="10"/>
                <w:sz w:val="18"/>
                <w:szCs w:val="18"/>
              </w:rPr>
              <w:t>优化三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)12.26</w:t>
            </w:r>
            <w:r>
              <w:rPr>
                <w:rFonts w:ascii="宋体" w:hAnsi="宋体" w:cs="宋体" w:eastAsia="宋体" w:hint="default"/>
                <w:spacing w:val="32"/>
                <w:sz w:val="18"/>
                <w:szCs w:val="18"/>
              </w:rPr>
              <w:t> </w:t>
            </w:r>
            <w:r>
              <w:rPr>
                <w:rFonts w:ascii="宋体" w:hAnsi="宋体" w:cs="宋体" w:eastAsia="宋体" w:hint="default"/>
                <w:sz w:val="18"/>
                <w:szCs w:val="18"/>
              </w:rPr>
              <w:t>亿</w:t>
            </w:r>
            <w:r>
              <w:rPr>
                <w:rFonts w:ascii="宋体" w:hAnsi="宋体" w:cs="宋体" w:eastAsia="宋体" w:hint="default"/>
                <w:spacing w:val="-58"/>
                <w:sz w:val="18"/>
                <w:szCs w:val="18"/>
              </w:rPr>
              <w:t> </w:t>
            </w:r>
            <w:r>
              <w:rPr>
                <w:rFonts w:ascii="宋体" w:hAnsi="宋体" w:cs="宋体" w:eastAsia="宋体" w:hint="default"/>
                <w:sz w:val="18"/>
                <w:szCs w:val="18"/>
              </w:rPr>
              <w:t>元</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同</w:t>
            </w:r>
            <w:r>
              <w:rPr>
                <w:rFonts w:ascii="宋体" w:hAnsi="宋体" w:cs="宋体" w:eastAsia="宋体" w:hint="default"/>
                <w:spacing w:val="-58"/>
                <w:sz w:val="18"/>
                <w:szCs w:val="18"/>
              </w:rPr>
              <w:t> </w:t>
            </w:r>
            <w:r>
              <w:rPr>
                <w:rFonts w:ascii="宋体" w:hAnsi="宋体" w:cs="宋体" w:eastAsia="宋体" w:hint="default"/>
                <w:sz w:val="18"/>
                <w:szCs w:val="18"/>
              </w:rPr>
              <w:t>比</w:t>
            </w:r>
            <w:r>
              <w:rPr>
                <w:rFonts w:ascii="宋体" w:hAnsi="宋体" w:cs="宋体" w:eastAsia="宋体" w:hint="default"/>
                <w:spacing w:val="-58"/>
                <w:sz w:val="18"/>
                <w:szCs w:val="18"/>
              </w:rPr>
              <w:t> </w:t>
            </w:r>
            <w:r>
              <w:rPr>
                <w:rFonts w:ascii="宋体" w:hAnsi="宋体" w:cs="宋体" w:eastAsia="宋体" w:hint="default"/>
                <w:sz w:val="18"/>
                <w:szCs w:val="18"/>
              </w:rPr>
              <w:t>增</w:t>
            </w:r>
            <w:r>
              <w:rPr>
                <w:rFonts w:ascii="宋体" w:hAnsi="宋体" w:cs="宋体" w:eastAsia="宋体" w:hint="default"/>
                <w:spacing w:val="-58"/>
                <w:sz w:val="18"/>
                <w:szCs w:val="18"/>
              </w:rPr>
              <w:t> </w:t>
            </w:r>
            <w:r>
              <w:rPr>
                <w:rFonts w:ascii="宋体" w:hAnsi="宋体" w:cs="宋体" w:eastAsia="宋体" w:hint="default"/>
                <w:sz w:val="18"/>
                <w:szCs w:val="18"/>
              </w:rPr>
              <w:t>幅</w:t>
            </w:r>
            <w:r>
              <w:rPr>
                <w:rFonts w:ascii="宋体" w:hAnsi="宋体" w:cs="宋体" w:eastAsia="宋体" w:hint="default"/>
                <w:sz w:val="18"/>
                <w:szCs w:val="18"/>
              </w:rPr>
              <w:t> 21.04%，无分项数据。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pacing w:val="14"/>
                <w:sz w:val="18"/>
                <w:szCs w:val="18"/>
              </w:rPr>
              <w:t>怡创科技 </w:t>
            </w:r>
            <w:r>
              <w:rPr>
                <w:rFonts w:ascii="宋体" w:hAnsi="宋体" w:cs="宋体" w:eastAsia="宋体" w:hint="default"/>
                <w:sz w:val="18"/>
                <w:szCs w:val="18"/>
              </w:rPr>
              <w:t>2017</w:t>
            </w:r>
            <w:r>
              <w:rPr>
                <w:rFonts w:ascii="宋体" w:hAnsi="宋体" w:cs="宋体" w:eastAsia="宋体" w:hint="default"/>
                <w:spacing w:val="26"/>
                <w:sz w:val="18"/>
                <w:szCs w:val="18"/>
              </w:rPr>
              <w:t> </w:t>
            </w:r>
            <w:r>
              <w:rPr>
                <w:rFonts w:ascii="宋体" w:hAnsi="宋体" w:cs="宋体" w:eastAsia="宋体" w:hint="default"/>
                <w:spacing w:val="15"/>
                <w:sz w:val="18"/>
                <w:szCs w:val="18"/>
              </w:rPr>
              <w:t>年中期营收</w:t>
            </w:r>
          </w:p>
          <w:p>
            <w:pPr>
              <w:pStyle w:val="TableParagraph"/>
              <w:spacing w:line="240" w:lineRule="auto"/>
              <w:ind w:left="103" w:right="7"/>
              <w:jc w:val="left"/>
              <w:rPr>
                <w:rFonts w:ascii="宋体" w:hAnsi="宋体" w:cs="宋体" w:eastAsia="宋体" w:hint="default"/>
                <w:sz w:val="18"/>
                <w:szCs w:val="18"/>
              </w:rPr>
            </w:pPr>
            <w:r>
              <w:rPr>
                <w:rFonts w:ascii="宋体" w:hAnsi="宋体" w:cs="宋体" w:eastAsia="宋体" w:hint="default"/>
                <w:sz w:val="18"/>
                <w:szCs w:val="18"/>
              </w:rPr>
              <w:t>7.89</w:t>
            </w:r>
            <w:r>
              <w:rPr>
                <w:rFonts w:ascii="宋体" w:hAnsi="宋体" w:cs="宋体" w:eastAsia="宋体" w:hint="default"/>
                <w:spacing w:val="-48"/>
                <w:sz w:val="18"/>
                <w:szCs w:val="18"/>
              </w:rPr>
              <w:t> </w:t>
            </w:r>
            <w:r>
              <w:rPr>
                <w:rFonts w:ascii="宋体" w:hAnsi="宋体" w:cs="宋体" w:eastAsia="宋体" w:hint="default"/>
                <w:sz w:val="18"/>
                <w:szCs w:val="18"/>
              </w:rPr>
              <w:t>亿元，同比增幅</w:t>
            </w:r>
            <w:r>
              <w:rPr>
                <w:rFonts w:ascii="宋体" w:hAnsi="宋体" w:cs="宋体" w:eastAsia="宋体" w:hint="default"/>
                <w:spacing w:val="-50"/>
                <w:sz w:val="18"/>
                <w:szCs w:val="18"/>
              </w:rPr>
              <w:t> </w:t>
            </w:r>
            <w:r>
              <w:rPr>
                <w:rFonts w:ascii="宋体" w:hAnsi="宋体" w:cs="宋体" w:eastAsia="宋体" w:hint="default"/>
                <w:sz w:val="18"/>
                <w:szCs w:val="18"/>
              </w:rPr>
              <w:t>27.46%，</w:t>
            </w:r>
            <w:r>
              <w:rPr>
                <w:rFonts w:ascii="宋体" w:hAnsi="宋体" w:cs="宋体" w:eastAsia="宋体" w:hint="default"/>
                <w:sz w:val="18"/>
                <w:szCs w:val="18"/>
              </w:rPr>
              <w:t> 无分项数据。</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pacing w:val="12"/>
                <w:sz w:val="18"/>
                <w:szCs w:val="18"/>
              </w:rPr>
              <w:t>怡创科技 </w:t>
            </w:r>
            <w:r>
              <w:rPr>
                <w:rFonts w:ascii="宋体" w:hAnsi="宋体" w:cs="宋体" w:eastAsia="宋体" w:hint="default"/>
                <w:sz w:val="18"/>
                <w:szCs w:val="18"/>
              </w:rPr>
              <w:t>2017</w:t>
            </w:r>
            <w:r>
              <w:rPr>
                <w:rFonts w:ascii="宋体" w:hAnsi="宋体" w:cs="宋体" w:eastAsia="宋体" w:hint="default"/>
                <w:spacing w:val="21"/>
                <w:sz w:val="18"/>
                <w:szCs w:val="18"/>
              </w:rPr>
              <w:t> </w:t>
            </w:r>
            <w:r>
              <w:rPr>
                <w:rFonts w:ascii="宋体" w:hAnsi="宋体" w:cs="宋体" w:eastAsia="宋体" w:hint="default"/>
                <w:spacing w:val="10"/>
                <w:sz w:val="18"/>
                <w:szCs w:val="18"/>
              </w:rPr>
              <w:t>年营收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15.15 </w:t>
            </w:r>
            <w:r>
              <w:rPr>
                <w:rFonts w:ascii="宋体" w:hAnsi="宋体" w:cs="宋体" w:eastAsia="宋体" w:hint="default"/>
                <w:spacing w:val="10"/>
                <w:sz w:val="18"/>
                <w:szCs w:val="18"/>
              </w:rPr>
              <w:t>亿元，</w:t>
            </w:r>
            <w:r>
              <w:rPr>
                <w:rFonts w:ascii="宋体" w:hAnsi="宋体" w:cs="宋体" w:eastAsia="宋体" w:hint="default"/>
                <w:spacing w:val="-57"/>
                <w:sz w:val="18"/>
                <w:szCs w:val="18"/>
              </w:rPr>
              <w:t> </w:t>
            </w:r>
            <w:r>
              <w:rPr>
                <w:rFonts w:ascii="宋体" w:hAnsi="宋体" w:cs="宋体" w:eastAsia="宋体" w:hint="default"/>
                <w:spacing w:val="12"/>
                <w:sz w:val="18"/>
                <w:szCs w:val="18"/>
              </w:rPr>
              <w:t>同比增幅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23.57%，无分项数据。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海格通信</w:t>
            </w:r>
            <w:r>
              <w:rPr>
                <w:rFonts w:ascii="宋体" w:hAnsi="宋体" w:cs="宋体" w:eastAsia="宋体" w:hint="default"/>
                <w:spacing w:val="11"/>
                <w:sz w:val="18"/>
                <w:szCs w:val="18"/>
              </w:rPr>
              <w:t> </w:t>
            </w:r>
            <w:r>
              <w:rPr>
                <w:rFonts w:ascii="宋体" w:hAnsi="宋体" w:cs="宋体" w:eastAsia="宋体" w:hint="default"/>
                <w:sz w:val="18"/>
                <w:szCs w:val="18"/>
              </w:rPr>
              <w:t>2016</w:t>
            </w:r>
          </w:p>
          <w:p>
            <w:pPr>
              <w:pStyle w:val="TableParagraph"/>
              <w:spacing w:line="232" w:lineRule="exact" w:before="24"/>
              <w:ind w:left="103" w:right="96"/>
              <w:jc w:val="both"/>
              <w:rPr>
                <w:rFonts w:ascii="宋体" w:hAnsi="宋体" w:cs="宋体" w:eastAsia="宋体" w:hint="default"/>
                <w:sz w:val="18"/>
                <w:szCs w:val="18"/>
              </w:rPr>
            </w:pPr>
            <w:r>
              <w:rPr>
                <w:rFonts w:ascii="宋体" w:hAnsi="宋体" w:cs="宋体" w:eastAsia="宋体" w:hint="default"/>
                <w:spacing w:val="3"/>
                <w:sz w:val="18"/>
                <w:szCs w:val="18"/>
              </w:rPr>
              <w:t>年报、2017</w:t>
            </w:r>
            <w:r>
              <w:rPr>
                <w:rFonts w:ascii="宋体" w:hAnsi="宋体" w:cs="宋体" w:eastAsia="宋体" w:hint="default"/>
                <w:spacing w:val="11"/>
                <w:sz w:val="18"/>
                <w:szCs w:val="18"/>
              </w:rPr>
              <w:t> </w:t>
            </w:r>
            <w:r>
              <w:rPr>
                <w:rFonts w:ascii="宋体" w:hAnsi="宋体" w:cs="宋体" w:eastAsia="宋体" w:hint="default"/>
                <w:sz w:val="18"/>
                <w:szCs w:val="18"/>
              </w:rPr>
              <w:t>年</w:t>
            </w:r>
            <w:r>
              <w:rPr>
                <w:rFonts w:ascii="宋体" w:hAnsi="宋体" w:cs="宋体" w:eastAsia="宋体" w:hint="default"/>
                <w:sz w:val="18"/>
                <w:szCs w:val="18"/>
              </w:rPr>
              <w:t> 半</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报</w:t>
            </w:r>
            <w:r>
              <w:rPr>
                <w:rFonts w:ascii="宋体" w:hAnsi="宋体" w:cs="宋体" w:eastAsia="宋体" w:hint="default"/>
                <w:spacing w:val="-59"/>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2017</w:t>
            </w:r>
            <w:r>
              <w:rPr>
                <w:rFonts w:ascii="宋体" w:hAnsi="宋体" w:cs="宋体" w:eastAsia="宋体" w:hint="default"/>
                <w:sz w:val="18"/>
                <w:szCs w:val="18"/>
              </w:rPr>
              <w:t> 年报。</w:t>
            </w:r>
          </w:p>
        </w:tc>
      </w:tr>
      <w:tr>
        <w:trPr>
          <w:trHeight w:val="117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8"/>
              <w:jc w:val="both"/>
              <w:rPr>
                <w:rFonts w:ascii="宋体" w:hAnsi="宋体" w:cs="宋体" w:eastAsia="宋体" w:hint="default"/>
                <w:sz w:val="18"/>
                <w:szCs w:val="18"/>
              </w:rPr>
            </w:pPr>
            <w:r>
              <w:rPr>
                <w:rFonts w:ascii="宋体" w:hAnsi="宋体" w:cs="宋体" w:eastAsia="宋体" w:hint="default"/>
                <w:spacing w:val="14"/>
                <w:sz w:val="18"/>
                <w:szCs w:val="18"/>
              </w:rPr>
              <w:t>杭州华星</w:t>
            </w:r>
            <w:r>
              <w:rPr>
                <w:rFonts w:ascii="宋体" w:hAnsi="宋体" w:cs="宋体" w:eastAsia="宋体" w:hint="default"/>
                <w:sz w:val="18"/>
                <w:szCs w:val="18"/>
              </w:rPr>
              <w:t> </w:t>
            </w:r>
            <w:r>
              <w:rPr>
                <w:rFonts w:ascii="宋体" w:hAnsi="宋体" w:cs="宋体" w:eastAsia="宋体" w:hint="default"/>
                <w:spacing w:val="14"/>
                <w:sz w:val="18"/>
                <w:szCs w:val="18"/>
              </w:rPr>
              <w:t>创业通信</w:t>
            </w:r>
            <w:r>
              <w:rPr>
                <w:rFonts w:ascii="宋体" w:hAnsi="宋体" w:cs="宋体" w:eastAsia="宋体" w:hint="default"/>
                <w:sz w:val="18"/>
                <w:szCs w:val="18"/>
              </w:rPr>
              <w:t> </w:t>
            </w:r>
            <w:r>
              <w:rPr>
                <w:rFonts w:ascii="宋体" w:hAnsi="宋体" w:cs="宋体" w:eastAsia="宋体" w:hint="default"/>
                <w:spacing w:val="14"/>
                <w:sz w:val="18"/>
                <w:szCs w:val="18"/>
              </w:rPr>
              <w:t>技术股份</w:t>
            </w:r>
            <w:r>
              <w:rPr>
                <w:rFonts w:ascii="宋体" w:hAnsi="宋体" w:cs="宋体" w:eastAsia="宋体" w:hint="default"/>
                <w:sz w:val="18"/>
                <w:szCs w:val="18"/>
              </w:rPr>
              <w:t> 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华星创业 2016</w:t>
            </w:r>
            <w:r>
              <w:rPr>
                <w:rFonts w:ascii="宋体" w:hAnsi="宋体" w:cs="宋体" w:eastAsia="宋体" w:hint="default"/>
                <w:spacing w:val="-4"/>
                <w:sz w:val="18"/>
                <w:szCs w:val="18"/>
              </w:rPr>
              <w:t> </w:t>
            </w:r>
            <w:r>
              <w:rPr>
                <w:rFonts w:ascii="宋体" w:hAnsi="宋体" w:cs="宋体" w:eastAsia="宋体" w:hint="default"/>
                <w:sz w:val="18"/>
                <w:szCs w:val="18"/>
              </w:rPr>
              <w:t>年通信服务营</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收(包括通信网络建设、维护、 优化三项)13.10</w:t>
            </w:r>
            <w:r>
              <w:rPr>
                <w:rFonts w:ascii="宋体" w:hAnsi="宋体" w:cs="宋体" w:eastAsia="宋体" w:hint="default"/>
                <w:spacing w:val="-44"/>
                <w:sz w:val="18"/>
                <w:szCs w:val="18"/>
              </w:rPr>
              <w:t> </w:t>
            </w:r>
            <w:r>
              <w:rPr>
                <w:rFonts w:ascii="宋体" w:hAnsi="宋体" w:cs="宋体" w:eastAsia="宋体" w:hint="default"/>
                <w:spacing w:val="-9"/>
                <w:sz w:val="18"/>
                <w:szCs w:val="18"/>
              </w:rPr>
              <w:t>亿元，同比增</w:t>
            </w:r>
            <w:r>
              <w:rPr>
                <w:rFonts w:ascii="宋体" w:hAnsi="宋体" w:cs="宋体" w:eastAsia="宋体" w:hint="default"/>
                <w:sz w:val="18"/>
                <w:szCs w:val="18"/>
              </w:rPr>
              <w:t> 幅</w:t>
            </w:r>
            <w:r>
              <w:rPr>
                <w:rFonts w:ascii="宋体" w:hAnsi="宋体" w:cs="宋体" w:eastAsia="宋体" w:hint="default"/>
                <w:spacing w:val="-5"/>
                <w:sz w:val="18"/>
                <w:szCs w:val="18"/>
              </w:rPr>
              <w:t> </w:t>
            </w:r>
            <w:r>
              <w:rPr>
                <w:rFonts w:ascii="宋体" w:hAnsi="宋体" w:cs="宋体" w:eastAsia="宋体" w:hint="default"/>
                <w:sz w:val="18"/>
                <w:szCs w:val="18"/>
              </w:rPr>
              <w:t>2.24%，其中通信网络维护</w:t>
            </w:r>
            <w:r>
              <w:rPr>
                <w:rFonts w:ascii="宋体" w:hAnsi="宋体" w:cs="宋体" w:eastAsia="宋体" w:hint="default"/>
                <w:sz w:val="18"/>
                <w:szCs w:val="18"/>
              </w:rPr>
              <w:t> 营收</w:t>
            </w:r>
            <w:r>
              <w:rPr>
                <w:rFonts w:ascii="宋体" w:hAnsi="宋体" w:cs="宋体" w:eastAsia="宋体" w:hint="default"/>
                <w:spacing w:val="-45"/>
                <w:sz w:val="18"/>
                <w:szCs w:val="18"/>
              </w:rPr>
              <w:t> </w:t>
            </w:r>
            <w:r>
              <w:rPr>
                <w:rFonts w:ascii="宋体" w:hAnsi="宋体" w:cs="宋体" w:eastAsia="宋体" w:hint="default"/>
                <w:sz w:val="18"/>
                <w:szCs w:val="18"/>
              </w:rPr>
              <w:t>0.68</w:t>
            </w:r>
            <w:r>
              <w:rPr>
                <w:rFonts w:ascii="宋体" w:hAnsi="宋体" w:cs="宋体" w:eastAsia="宋体" w:hint="default"/>
                <w:spacing w:val="-44"/>
                <w:sz w:val="18"/>
                <w:szCs w:val="18"/>
              </w:rPr>
              <w:t> </w:t>
            </w:r>
            <w:r>
              <w:rPr>
                <w:rFonts w:ascii="宋体" w:hAnsi="宋体" w:cs="宋体" w:eastAsia="宋体" w:hint="default"/>
                <w:sz w:val="18"/>
                <w:szCs w:val="18"/>
              </w:rPr>
              <w:t>亿元。</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华星创业 2017</w:t>
            </w:r>
            <w:r>
              <w:rPr>
                <w:rFonts w:ascii="宋体" w:hAnsi="宋体" w:cs="宋体" w:eastAsia="宋体" w:hint="default"/>
                <w:spacing w:val="-7"/>
                <w:sz w:val="18"/>
                <w:szCs w:val="18"/>
              </w:rPr>
              <w:t> </w:t>
            </w:r>
            <w:r>
              <w:rPr>
                <w:rFonts w:ascii="宋体" w:hAnsi="宋体" w:cs="宋体" w:eastAsia="宋体" w:hint="default"/>
                <w:sz w:val="18"/>
                <w:szCs w:val="18"/>
              </w:rPr>
              <w:t>年中期通信服</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务营收 6.28</w:t>
            </w:r>
            <w:r>
              <w:rPr>
                <w:rFonts w:ascii="宋体" w:hAnsi="宋体" w:cs="宋体" w:eastAsia="宋体" w:hint="default"/>
                <w:spacing w:val="-7"/>
                <w:sz w:val="18"/>
                <w:szCs w:val="18"/>
              </w:rPr>
              <w:t> </w:t>
            </w:r>
            <w:r>
              <w:rPr>
                <w:rFonts w:ascii="宋体" w:hAnsi="宋体" w:cs="宋体" w:eastAsia="宋体" w:hint="default"/>
                <w:sz w:val="18"/>
                <w:szCs w:val="18"/>
              </w:rPr>
              <w:t>亿元，同比增幅</w:t>
            </w:r>
            <w:r>
              <w:rPr>
                <w:rFonts w:ascii="宋体" w:hAnsi="宋体" w:cs="宋体" w:eastAsia="宋体" w:hint="default"/>
                <w:sz w:val="18"/>
                <w:szCs w:val="18"/>
              </w:rPr>
              <w:t> 19.80%。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尚未发布</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年度报告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5"/>
                <w:sz w:val="18"/>
                <w:szCs w:val="18"/>
              </w:rPr>
              <w:t>华星创业</w:t>
            </w:r>
            <w:r>
              <w:rPr>
                <w:rFonts w:ascii="宋体" w:hAnsi="宋体" w:cs="宋体" w:eastAsia="宋体" w:hint="default"/>
                <w:spacing w:val="11"/>
                <w:sz w:val="18"/>
                <w:szCs w:val="18"/>
              </w:rPr>
              <w:t> </w:t>
            </w:r>
            <w:r>
              <w:rPr>
                <w:rFonts w:ascii="宋体" w:hAnsi="宋体" w:cs="宋体" w:eastAsia="宋体" w:hint="default"/>
                <w:sz w:val="18"/>
                <w:szCs w:val="18"/>
              </w:rPr>
              <w:t>2016</w:t>
            </w:r>
            <w:r>
              <w:rPr>
                <w:rFonts w:ascii="宋体" w:hAnsi="宋体" w:cs="宋体" w:eastAsia="宋体" w:hint="default"/>
                <w:sz w:val="18"/>
                <w:szCs w:val="18"/>
              </w:rPr>
              <w:t> </w:t>
            </w:r>
            <w:r>
              <w:rPr>
                <w:rFonts w:ascii="宋体" w:hAnsi="宋体" w:cs="宋体" w:eastAsia="宋体" w:hint="default"/>
                <w:spacing w:val="3"/>
                <w:sz w:val="18"/>
                <w:szCs w:val="18"/>
              </w:rPr>
              <w:t>年报、2017</w:t>
            </w:r>
            <w:r>
              <w:rPr>
                <w:rFonts w:ascii="宋体" w:hAnsi="宋体" w:cs="宋体" w:eastAsia="宋体" w:hint="default"/>
                <w:spacing w:val="11"/>
                <w:sz w:val="18"/>
                <w:szCs w:val="18"/>
              </w:rPr>
              <w:t> </w:t>
            </w:r>
            <w:r>
              <w:rPr>
                <w:rFonts w:ascii="宋体" w:hAnsi="宋体" w:cs="宋体" w:eastAsia="宋体" w:hint="default"/>
                <w:sz w:val="18"/>
                <w:szCs w:val="18"/>
              </w:rPr>
              <w:t>年</w:t>
            </w:r>
            <w:r>
              <w:rPr>
                <w:rFonts w:ascii="宋体" w:hAnsi="宋体" w:cs="宋体" w:eastAsia="宋体" w:hint="default"/>
                <w:sz w:val="18"/>
                <w:szCs w:val="18"/>
              </w:rPr>
              <w:t> 半年报。</w:t>
            </w:r>
          </w:p>
        </w:tc>
      </w:tr>
      <w:tr>
        <w:trPr>
          <w:trHeight w:val="1178"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8"/>
              <w:jc w:val="both"/>
              <w:rPr>
                <w:rFonts w:ascii="宋体" w:hAnsi="宋体" w:cs="宋体" w:eastAsia="宋体" w:hint="default"/>
                <w:sz w:val="18"/>
                <w:szCs w:val="18"/>
              </w:rPr>
            </w:pPr>
            <w:r>
              <w:rPr>
                <w:rFonts w:ascii="宋体" w:hAnsi="宋体" w:cs="宋体" w:eastAsia="宋体" w:hint="default"/>
                <w:spacing w:val="14"/>
                <w:sz w:val="18"/>
                <w:szCs w:val="18"/>
              </w:rPr>
              <w:t>广东宜通</w:t>
            </w:r>
            <w:r>
              <w:rPr>
                <w:rFonts w:ascii="宋体" w:hAnsi="宋体" w:cs="宋体" w:eastAsia="宋体" w:hint="default"/>
                <w:sz w:val="18"/>
                <w:szCs w:val="18"/>
              </w:rPr>
              <w:t> </w:t>
            </w:r>
            <w:r>
              <w:rPr>
                <w:rFonts w:ascii="宋体" w:hAnsi="宋体" w:cs="宋体" w:eastAsia="宋体" w:hint="default"/>
                <w:spacing w:val="14"/>
                <w:sz w:val="18"/>
                <w:szCs w:val="18"/>
              </w:rPr>
              <w:t>世纪科技</w:t>
            </w:r>
            <w:r>
              <w:rPr>
                <w:rFonts w:ascii="宋体" w:hAnsi="宋体" w:cs="宋体" w:eastAsia="宋体" w:hint="default"/>
                <w:sz w:val="18"/>
                <w:szCs w:val="18"/>
              </w:rPr>
              <w:t> </w:t>
            </w:r>
            <w:r>
              <w:rPr>
                <w:rFonts w:ascii="宋体" w:hAnsi="宋体" w:cs="宋体" w:eastAsia="宋体" w:hint="default"/>
                <w:spacing w:val="14"/>
                <w:sz w:val="18"/>
                <w:szCs w:val="18"/>
              </w:rPr>
              <w:t>股份有限</w:t>
            </w:r>
            <w:r>
              <w:rPr>
                <w:rFonts w:ascii="宋体" w:hAnsi="宋体" w:cs="宋体" w:eastAsia="宋体" w:hint="default"/>
                <w:sz w:val="18"/>
                <w:szCs w:val="18"/>
              </w:rPr>
              <w:t> 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宜通世纪 2016</w:t>
            </w:r>
            <w:r>
              <w:rPr>
                <w:rFonts w:ascii="宋体" w:hAnsi="宋体" w:cs="宋体" w:eastAsia="宋体" w:hint="default"/>
                <w:spacing w:val="-4"/>
                <w:sz w:val="18"/>
                <w:szCs w:val="18"/>
              </w:rPr>
              <w:t> </w:t>
            </w:r>
            <w:r>
              <w:rPr>
                <w:rFonts w:ascii="宋体" w:hAnsi="宋体" w:cs="宋体" w:eastAsia="宋体" w:hint="default"/>
                <w:sz w:val="18"/>
                <w:szCs w:val="18"/>
              </w:rPr>
              <w:t>年通信网络技</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术服务营收</w:t>
            </w:r>
            <w:r>
              <w:rPr>
                <w:rFonts w:ascii="宋体" w:hAnsi="宋体" w:cs="宋体" w:eastAsia="宋体" w:hint="default"/>
                <w:spacing w:val="-50"/>
                <w:sz w:val="18"/>
                <w:szCs w:val="18"/>
              </w:rPr>
              <w:t> </w:t>
            </w:r>
            <w:r>
              <w:rPr>
                <w:rFonts w:ascii="宋体" w:hAnsi="宋体" w:cs="宋体" w:eastAsia="宋体" w:hint="default"/>
                <w:sz w:val="18"/>
                <w:szCs w:val="18"/>
              </w:rPr>
              <w:t>14.98</w:t>
            </w:r>
            <w:r>
              <w:rPr>
                <w:rFonts w:ascii="宋体" w:hAnsi="宋体" w:cs="宋体" w:eastAsia="宋体" w:hint="default"/>
                <w:spacing w:val="-50"/>
                <w:sz w:val="18"/>
                <w:szCs w:val="18"/>
              </w:rPr>
              <w:t> </w:t>
            </w:r>
            <w:r>
              <w:rPr>
                <w:rFonts w:ascii="宋体" w:hAnsi="宋体" w:cs="宋体" w:eastAsia="宋体" w:hint="default"/>
                <w:sz w:val="18"/>
                <w:szCs w:val="18"/>
              </w:rPr>
              <w:t>亿元，其中</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z w:val="18"/>
                <w:szCs w:val="18"/>
              </w:rPr>
              <w:t>网络维护收入 8.66</w:t>
            </w:r>
            <w:r>
              <w:rPr>
                <w:rFonts w:ascii="宋体" w:hAnsi="宋体" w:cs="宋体" w:eastAsia="宋体" w:hint="default"/>
                <w:spacing w:val="-5"/>
                <w:sz w:val="18"/>
                <w:szCs w:val="18"/>
              </w:rPr>
              <w:t> </w:t>
            </w:r>
            <w:r>
              <w:rPr>
                <w:rFonts w:ascii="宋体" w:hAnsi="宋体" w:cs="宋体" w:eastAsia="宋体" w:hint="default"/>
                <w:sz w:val="18"/>
                <w:szCs w:val="18"/>
              </w:rPr>
              <w:t>亿元同比</w:t>
            </w:r>
            <w:r>
              <w:rPr>
                <w:rFonts w:ascii="宋体" w:hAnsi="宋体" w:cs="宋体" w:eastAsia="宋体" w:hint="default"/>
                <w:sz w:val="18"/>
                <w:szCs w:val="18"/>
              </w:rPr>
              <w:t> 增</w:t>
            </w:r>
            <w:r>
              <w:rPr>
                <w:rFonts w:ascii="宋体" w:hAnsi="宋体" w:cs="宋体" w:eastAsia="宋体" w:hint="default"/>
                <w:spacing w:val="-28"/>
                <w:sz w:val="18"/>
                <w:szCs w:val="18"/>
              </w:rPr>
              <w:t> </w:t>
            </w:r>
            <w:r>
              <w:rPr>
                <w:rFonts w:ascii="宋体" w:hAnsi="宋体" w:cs="宋体" w:eastAsia="宋体" w:hint="default"/>
                <w:sz w:val="18"/>
                <w:szCs w:val="18"/>
              </w:rPr>
              <w:t>幅</w:t>
            </w:r>
            <w:r>
              <w:rPr>
                <w:rFonts w:ascii="宋体" w:hAnsi="宋体" w:cs="宋体" w:eastAsia="宋体" w:hint="default"/>
                <w:spacing w:val="63"/>
                <w:sz w:val="18"/>
                <w:szCs w:val="18"/>
              </w:rPr>
              <w:t> </w:t>
            </w:r>
            <w:r>
              <w:rPr>
                <w:rFonts w:ascii="宋体" w:hAnsi="宋体" w:cs="宋体" w:eastAsia="宋体" w:hint="default"/>
                <w:sz w:val="18"/>
                <w:szCs w:val="18"/>
              </w:rPr>
              <w:t>44.31%</w:t>
            </w:r>
            <w:r>
              <w:rPr>
                <w:rFonts w:ascii="宋体" w:hAnsi="宋体" w:cs="宋体" w:eastAsia="宋体" w:hint="default"/>
                <w:spacing w:val="-27"/>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毛</w:t>
            </w:r>
            <w:r>
              <w:rPr>
                <w:rFonts w:ascii="宋体" w:hAnsi="宋体" w:cs="宋体" w:eastAsia="宋体" w:hint="default"/>
                <w:spacing w:val="-28"/>
                <w:sz w:val="18"/>
                <w:szCs w:val="18"/>
              </w:rPr>
              <w:t> </w:t>
            </w:r>
            <w:r>
              <w:rPr>
                <w:rFonts w:ascii="宋体" w:hAnsi="宋体" w:cs="宋体" w:eastAsia="宋体" w:hint="default"/>
                <w:sz w:val="18"/>
                <w:szCs w:val="18"/>
              </w:rPr>
              <w:t>利</w:t>
            </w:r>
            <w:r>
              <w:rPr>
                <w:rFonts w:ascii="宋体" w:hAnsi="宋体" w:cs="宋体" w:eastAsia="宋体" w:hint="default"/>
                <w:spacing w:val="-28"/>
                <w:sz w:val="18"/>
                <w:szCs w:val="18"/>
              </w:rPr>
              <w:t> </w:t>
            </w:r>
            <w:r>
              <w:rPr>
                <w:rFonts w:ascii="宋体" w:hAnsi="宋体" w:cs="宋体" w:eastAsia="宋体" w:hint="default"/>
                <w:sz w:val="18"/>
                <w:szCs w:val="18"/>
              </w:rPr>
              <w:t>率</w:t>
            </w:r>
            <w:r>
              <w:rPr>
                <w:rFonts w:ascii="宋体" w:hAnsi="宋体" w:cs="宋体" w:eastAsia="宋体" w:hint="default"/>
                <w:spacing w:val="-28"/>
                <w:sz w:val="18"/>
                <w:szCs w:val="18"/>
              </w:rPr>
              <w:t> </w:t>
            </w:r>
            <w:r>
              <w:rPr>
                <w:rFonts w:ascii="宋体" w:hAnsi="宋体" w:cs="宋体" w:eastAsia="宋体" w:hint="default"/>
                <w:sz w:val="18"/>
                <w:szCs w:val="18"/>
              </w:rPr>
              <w:t>为</w:t>
            </w:r>
            <w:r>
              <w:rPr>
                <w:rFonts w:ascii="宋体" w:hAnsi="宋体" w:cs="宋体" w:eastAsia="宋体" w:hint="default"/>
                <w:sz w:val="18"/>
                <w:szCs w:val="18"/>
              </w:rPr>
              <w:t> 13.12%。</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宜通世纪 2017</w:t>
            </w:r>
            <w:r>
              <w:rPr>
                <w:rFonts w:ascii="宋体" w:hAnsi="宋体" w:cs="宋体" w:eastAsia="宋体" w:hint="default"/>
                <w:spacing w:val="-7"/>
                <w:sz w:val="18"/>
                <w:szCs w:val="18"/>
              </w:rPr>
              <w:t> </w:t>
            </w:r>
            <w:r>
              <w:rPr>
                <w:rFonts w:ascii="宋体" w:hAnsi="宋体" w:cs="宋体" w:eastAsia="宋体" w:hint="default"/>
                <w:sz w:val="18"/>
                <w:szCs w:val="18"/>
              </w:rPr>
              <w:t>年中期通信网</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络技术服务营收 8.32</w:t>
            </w:r>
            <w:r>
              <w:rPr>
                <w:rFonts w:ascii="宋体" w:hAnsi="宋体" w:cs="宋体" w:eastAsia="宋体" w:hint="default"/>
                <w:spacing w:val="-6"/>
                <w:sz w:val="18"/>
                <w:szCs w:val="18"/>
              </w:rPr>
              <w:t> </w:t>
            </w:r>
            <w:r>
              <w:rPr>
                <w:rFonts w:ascii="宋体" w:hAnsi="宋体" w:cs="宋体" w:eastAsia="宋体" w:hint="default"/>
                <w:sz w:val="18"/>
                <w:szCs w:val="18"/>
              </w:rPr>
              <w:t>亿元，</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z w:val="18"/>
                <w:szCs w:val="18"/>
              </w:rPr>
              <w:t>其中网络维护收入 5.45</w:t>
            </w:r>
            <w:r>
              <w:rPr>
                <w:rFonts w:ascii="宋体" w:hAnsi="宋体" w:cs="宋体" w:eastAsia="宋体" w:hint="default"/>
                <w:spacing w:val="-7"/>
                <w:sz w:val="18"/>
                <w:szCs w:val="18"/>
              </w:rPr>
              <w:t> </w:t>
            </w:r>
            <w:r>
              <w:rPr>
                <w:rFonts w:ascii="宋体" w:hAnsi="宋体" w:cs="宋体" w:eastAsia="宋体" w:hint="default"/>
                <w:sz w:val="18"/>
                <w:szCs w:val="18"/>
              </w:rPr>
              <w:t>亿元</w:t>
            </w:r>
            <w:r>
              <w:rPr>
                <w:rFonts w:ascii="宋体" w:hAnsi="宋体" w:cs="宋体" w:eastAsia="宋体" w:hint="default"/>
                <w:sz w:val="18"/>
                <w:szCs w:val="18"/>
              </w:rPr>
              <w:t> </w:t>
            </w:r>
            <w:r>
              <w:rPr>
                <w:rFonts w:ascii="宋体" w:hAnsi="宋体" w:cs="宋体" w:eastAsia="宋体" w:hint="default"/>
                <w:spacing w:val="6"/>
                <w:sz w:val="18"/>
                <w:szCs w:val="18"/>
              </w:rPr>
              <w:t>同比增幅</w:t>
            </w:r>
            <w:r>
              <w:rPr>
                <w:rFonts w:ascii="宋体" w:hAnsi="宋体" w:cs="宋体" w:eastAsia="宋体" w:hint="default"/>
                <w:spacing w:val="18"/>
                <w:sz w:val="18"/>
                <w:szCs w:val="18"/>
              </w:rPr>
              <w:t> </w:t>
            </w:r>
            <w:r>
              <w:rPr>
                <w:rFonts w:ascii="宋体" w:hAnsi="宋体" w:cs="宋体" w:eastAsia="宋体" w:hint="default"/>
                <w:spacing w:val="3"/>
                <w:sz w:val="18"/>
                <w:szCs w:val="18"/>
              </w:rPr>
              <w:t>55.87%，毛利率为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11.73%。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尚未发布</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年度报告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5"/>
                <w:sz w:val="18"/>
                <w:szCs w:val="18"/>
              </w:rPr>
              <w:t>宜通世纪</w:t>
            </w:r>
            <w:r>
              <w:rPr>
                <w:rFonts w:ascii="宋体" w:hAnsi="宋体" w:cs="宋体" w:eastAsia="宋体" w:hint="default"/>
                <w:spacing w:val="11"/>
                <w:sz w:val="18"/>
                <w:szCs w:val="18"/>
              </w:rPr>
              <w:t> </w:t>
            </w:r>
            <w:r>
              <w:rPr>
                <w:rFonts w:ascii="宋体" w:hAnsi="宋体" w:cs="宋体" w:eastAsia="宋体" w:hint="default"/>
                <w:sz w:val="18"/>
                <w:szCs w:val="18"/>
              </w:rPr>
              <w:t>2016</w:t>
            </w:r>
            <w:r>
              <w:rPr>
                <w:rFonts w:ascii="宋体" w:hAnsi="宋体" w:cs="宋体" w:eastAsia="宋体" w:hint="default"/>
                <w:sz w:val="18"/>
                <w:szCs w:val="18"/>
              </w:rPr>
              <w:t> </w:t>
            </w:r>
            <w:r>
              <w:rPr>
                <w:rFonts w:ascii="宋体" w:hAnsi="宋体" w:cs="宋体" w:eastAsia="宋体" w:hint="default"/>
                <w:spacing w:val="3"/>
                <w:sz w:val="18"/>
                <w:szCs w:val="18"/>
              </w:rPr>
              <w:t>年报、2017</w:t>
            </w:r>
            <w:r>
              <w:rPr>
                <w:rFonts w:ascii="宋体" w:hAnsi="宋体" w:cs="宋体" w:eastAsia="宋体" w:hint="default"/>
                <w:spacing w:val="11"/>
                <w:sz w:val="18"/>
                <w:szCs w:val="18"/>
              </w:rPr>
              <w:t> </w:t>
            </w:r>
            <w:r>
              <w:rPr>
                <w:rFonts w:ascii="宋体" w:hAnsi="宋体" w:cs="宋体" w:eastAsia="宋体" w:hint="default"/>
                <w:sz w:val="18"/>
                <w:szCs w:val="18"/>
              </w:rPr>
              <w:t>年</w:t>
            </w:r>
            <w:r>
              <w:rPr>
                <w:rFonts w:ascii="宋体" w:hAnsi="宋体" w:cs="宋体" w:eastAsia="宋体" w:hint="default"/>
                <w:sz w:val="18"/>
                <w:szCs w:val="18"/>
              </w:rPr>
              <w:t> 半年报。</w:t>
            </w:r>
          </w:p>
        </w:tc>
      </w:tr>
    </w:tbl>
    <w:p>
      <w:pPr>
        <w:spacing w:line="240" w:lineRule="auto" w:before="9"/>
        <w:rPr>
          <w:rFonts w:ascii="宋体" w:hAnsi="宋体" w:cs="宋体" w:eastAsia="宋体" w:hint="default"/>
          <w:sz w:val="21"/>
          <w:szCs w:val="21"/>
        </w:rPr>
      </w:pPr>
    </w:p>
    <w:p>
      <w:pPr>
        <w:pStyle w:val="BodyText"/>
        <w:spacing w:line="273" w:lineRule="auto" w:before="36"/>
        <w:ind w:left="393" w:right="342" w:firstLine="420"/>
        <w:jc w:val="left"/>
      </w:pPr>
      <w:r>
        <w:rPr>
          <w:spacing w:val="-4"/>
        </w:rPr>
        <w:t>3、据工信部网站</w:t>
      </w:r>
      <w:r>
        <w:rPr>
          <w:spacing w:val="-45"/>
        </w:rPr>
        <w:t> </w:t>
      </w:r>
      <w:r>
        <w:rPr/>
        <w:t>2017</w:t>
      </w:r>
      <w:r>
        <w:rPr>
          <w:spacing w:val="-45"/>
        </w:rPr>
        <w:t> </w:t>
      </w:r>
      <w:r>
        <w:rPr>
          <w:spacing w:val="-3"/>
        </w:rPr>
        <w:t>年通信业统计公报，2017</w:t>
      </w:r>
      <w:r>
        <w:rPr>
          <w:spacing w:val="-43"/>
        </w:rPr>
        <w:t> </w:t>
      </w:r>
      <w:r>
        <w:rPr>
          <w:spacing w:val="-4"/>
        </w:rPr>
        <w:t>年，互联网宽带接入端口数量达到</w:t>
      </w:r>
      <w:r>
        <w:rPr>
          <w:spacing w:val="-43"/>
        </w:rPr>
        <w:t> </w:t>
      </w:r>
      <w:r>
        <w:rPr/>
        <w:t>7.79</w:t>
      </w:r>
      <w:r>
        <w:rPr>
          <w:spacing w:val="-43"/>
        </w:rPr>
        <w:t> </w:t>
      </w:r>
      <w:r>
        <w:rPr/>
        <w:t>亿个，</w:t>
      </w:r>
      <w:r>
        <w:rPr>
          <w:w w:val="100"/>
        </w:rPr>
        <w:t> </w:t>
      </w:r>
      <w:r>
        <w:rPr/>
        <w:t>比上年净增</w:t>
      </w:r>
      <w:r>
        <w:rPr>
          <w:spacing w:val="-50"/>
        </w:rPr>
        <w:t> </w:t>
      </w:r>
      <w:r>
        <w:rPr/>
        <w:t>0.66</w:t>
      </w:r>
      <w:r>
        <w:rPr>
          <w:spacing w:val="-50"/>
        </w:rPr>
        <w:t> </w:t>
      </w:r>
      <w:r>
        <w:rPr>
          <w:spacing w:val="-6"/>
        </w:rPr>
        <w:t>亿个。全国净</w:t>
      </w:r>
      <w:r>
        <w:rPr>
          <w:color w:val="070707"/>
          <w:spacing w:val="-6"/>
        </w:rPr>
        <w:t>增移动通信基站</w:t>
      </w:r>
      <w:r>
        <w:rPr>
          <w:color w:val="070707"/>
          <w:spacing w:val="-50"/>
        </w:rPr>
        <w:t> </w:t>
      </w:r>
      <w:r>
        <w:rPr>
          <w:color w:val="070707"/>
        </w:rPr>
        <w:t>59.3</w:t>
      </w:r>
      <w:r>
        <w:rPr>
          <w:color w:val="070707"/>
          <w:spacing w:val="-53"/>
        </w:rPr>
        <w:t> </w:t>
      </w:r>
      <w:r>
        <w:rPr>
          <w:color w:val="070707"/>
          <w:spacing w:val="-11"/>
        </w:rPr>
        <w:t>万个，总数达</w:t>
      </w:r>
      <w:r>
        <w:rPr>
          <w:color w:val="070707"/>
          <w:spacing w:val="-50"/>
        </w:rPr>
        <w:t> </w:t>
      </w:r>
      <w:r>
        <w:rPr>
          <w:color w:val="070707"/>
        </w:rPr>
        <w:t>619</w:t>
      </w:r>
      <w:r>
        <w:rPr>
          <w:color w:val="070707"/>
          <w:spacing w:val="-53"/>
        </w:rPr>
        <w:t> </w:t>
      </w:r>
      <w:r>
        <w:rPr>
          <w:color w:val="070707"/>
          <w:spacing w:val="-13"/>
        </w:rPr>
        <w:t>万个，其中</w:t>
      </w:r>
      <w:r>
        <w:rPr>
          <w:color w:val="070707"/>
          <w:spacing w:val="-50"/>
        </w:rPr>
        <w:t> </w:t>
      </w:r>
      <w:r>
        <w:rPr>
          <w:color w:val="070707"/>
        </w:rPr>
        <w:t>4G</w:t>
      </w:r>
      <w:r>
        <w:rPr>
          <w:color w:val="070707"/>
          <w:spacing w:val="-53"/>
        </w:rPr>
        <w:t> </w:t>
      </w:r>
      <w:r>
        <w:rPr>
          <w:color w:val="070707"/>
        </w:rPr>
        <w:t>基站净增</w:t>
      </w:r>
      <w:r>
        <w:rPr>
          <w:color w:val="070707"/>
          <w:spacing w:val="-53"/>
        </w:rPr>
        <w:t> </w:t>
      </w:r>
      <w:r>
        <w:rPr>
          <w:color w:val="070707"/>
        </w:rPr>
        <w:t>65.2</w:t>
      </w:r>
      <w:r>
        <w:rPr>
          <w:color w:val="070707"/>
          <w:spacing w:val="-98"/>
        </w:rPr>
        <w:t> </w:t>
      </w:r>
      <w:r>
        <w:rPr>
          <w:color w:val="070707"/>
          <w:spacing w:val="-98"/>
        </w:rPr>
      </w:r>
      <w:r>
        <w:rPr>
          <w:color w:val="070707"/>
        </w:rPr>
        <w:t>万个，总数达</w:t>
      </w:r>
      <w:r>
        <w:rPr>
          <w:color w:val="070707"/>
          <w:spacing w:val="-56"/>
        </w:rPr>
        <w:t> </w:t>
      </w:r>
      <w:r>
        <w:rPr>
          <w:color w:val="070707"/>
        </w:rPr>
        <w:t>328</w:t>
      </w:r>
      <w:r>
        <w:rPr>
          <w:color w:val="070707"/>
          <w:spacing w:val="-56"/>
        </w:rPr>
        <w:t> </w:t>
      </w:r>
      <w:r>
        <w:rPr>
          <w:color w:val="070707"/>
        </w:rPr>
        <w:t>万个；</w:t>
      </w:r>
      <w:r>
        <w:rPr/>
        <w:t>全国新建光缆线路</w:t>
      </w:r>
      <w:r>
        <w:rPr>
          <w:spacing w:val="-56"/>
        </w:rPr>
        <w:t> </w:t>
      </w:r>
      <w:r>
        <w:rPr/>
        <w:t>705</w:t>
      </w:r>
      <w:r>
        <w:rPr>
          <w:spacing w:val="-56"/>
        </w:rPr>
        <w:t> </w:t>
      </w:r>
      <w:r>
        <w:rPr/>
        <w:t>万公里，光缆线路总长度</w:t>
      </w:r>
      <w:r>
        <w:rPr>
          <w:spacing w:val="-56"/>
        </w:rPr>
        <w:t> </w:t>
      </w:r>
      <w:r>
        <w:rPr/>
        <w:t>3,747</w:t>
      </w:r>
      <w:r>
        <w:rPr>
          <w:spacing w:val="-56"/>
        </w:rPr>
        <w:t> </w:t>
      </w:r>
      <w:r>
        <w:rPr/>
        <w:t>万公里，均在持续</w:t>
      </w:r>
      <w:r>
        <w:rPr>
          <w:w w:val="100"/>
        </w:rPr>
        <w:t> </w:t>
      </w:r>
      <w:r>
        <w:rPr/>
        <w:t>上升之中，5G</w:t>
      </w:r>
      <w:r>
        <w:rPr>
          <w:spacing w:val="-57"/>
        </w:rPr>
        <w:t> </w:t>
      </w:r>
      <w:r>
        <w:rPr/>
        <w:t>商用临近将带来基站建设维护业务的扩大。通信设施的巨大存量和增量的维护需求，</w:t>
      </w:r>
      <w:r>
        <w:rPr>
          <w:w w:val="100"/>
        </w:rPr>
        <w:t> </w:t>
      </w:r>
      <w:r>
        <w:rPr>
          <w:spacing w:val="2"/>
        </w:rPr>
        <w:t>将保持通信技术服务行业的良好发展，公司通信网络维护业务具备较好的外部环境和市场增长趋</w:t>
      </w:r>
      <w:r>
        <w:rPr>
          <w:spacing w:val="-20"/>
        </w:rPr>
        <w:t> </w:t>
      </w:r>
      <w:r>
        <w:rPr>
          <w:spacing w:val="-20"/>
        </w:rPr>
      </w:r>
      <w:r>
        <w:rPr>
          <w:spacing w:val="-5"/>
        </w:rPr>
        <w:t>势。长实通信凭借核心竞争优势和跨省区运维能力及业务规模，将保持在网络维护行业的前列地位。</w:t>
      </w:r>
    </w:p>
    <w:p>
      <w:pPr>
        <w:pStyle w:val="BodyText"/>
        <w:spacing w:line="240" w:lineRule="auto"/>
        <w:ind w:left="813" w:right="342"/>
        <w:jc w:val="left"/>
      </w:pPr>
      <w:r>
        <w:rPr/>
        <w:t>4、随着通信技术的发展，个人及企业等社会主体对信息传递和接收的需求呈爆发式增长，通</w:t>
      </w:r>
    </w:p>
    <w:p>
      <w:pPr>
        <w:spacing w:after="0" w:line="240" w:lineRule="auto"/>
        <w:jc w:val="left"/>
        <w:sectPr>
          <w:pgSz w:w="11910" w:h="16840"/>
          <w:pgMar w:header="884" w:footer="1000" w:top="1140" w:bottom="1200" w:left="1080" w:right="960"/>
        </w:sectPr>
      </w:pPr>
    </w:p>
    <w:p>
      <w:pPr>
        <w:pStyle w:val="BodyText"/>
        <w:spacing w:line="273" w:lineRule="auto" w:before="131"/>
        <w:ind w:left="153" w:right="153"/>
        <w:jc w:val="both"/>
      </w:pPr>
      <w:r>
        <w:rPr>
          <w:spacing w:val="-2"/>
        </w:rPr>
        <w:t>信用户数量持续增长，通信内容不断丰富，激发了运营商对通信技术基础投资及服务的长期需求，</w:t>
      </w:r>
      <w:r>
        <w:rPr>
          <w:spacing w:val="-25"/>
        </w:rPr>
        <w:t> </w:t>
      </w:r>
      <w:r>
        <w:rPr>
          <w:spacing w:val="-25"/>
        </w:rPr>
      </w:r>
      <w:r>
        <w:rPr>
          <w:spacing w:val="-2"/>
        </w:rPr>
        <w:t>而通信网络维护作为运营商保持通信网络运营平稳，提高网络使用率，满足终端客户网络应用需求</w:t>
      </w:r>
      <w:r>
        <w:rPr>
          <w:spacing w:val="-43"/>
        </w:rPr>
        <w:t> </w:t>
      </w:r>
      <w:r>
        <w:rPr>
          <w:spacing w:val="-43"/>
        </w:rPr>
      </w:r>
      <w:r>
        <w:rPr>
          <w:spacing w:val="-2"/>
        </w:rPr>
        <w:t>直接、高效、低成本的手段，将长期存在和快速发展，长实通信将凭借行业地位、能力和信誉扩大</w:t>
      </w:r>
      <w:r>
        <w:rPr>
          <w:spacing w:val="-48"/>
        </w:rPr>
        <w:t> </w:t>
      </w:r>
      <w:r>
        <w:rPr>
          <w:spacing w:val="-48"/>
        </w:rPr>
      </w:r>
      <w:r>
        <w:rPr>
          <w:spacing w:val="-3"/>
        </w:rPr>
        <w:t>市场份额，保持在行业中的竞争优势。2015—2017</w:t>
      </w:r>
      <w:r>
        <w:rPr>
          <w:spacing w:val="-39"/>
        </w:rPr>
        <w:t> </w:t>
      </w:r>
      <w:r>
        <w:rPr>
          <w:spacing w:val="-3"/>
        </w:rPr>
        <w:t>年公司网络维护的营业成本构成稳定，每</w:t>
      </w:r>
      <w:r>
        <w:rPr>
          <w:spacing w:val="-37"/>
        </w:rPr>
        <w:t> </w:t>
      </w:r>
      <w:r>
        <w:rPr/>
        <w:t>1</w:t>
      </w:r>
      <w:r>
        <w:rPr>
          <w:spacing w:val="-39"/>
        </w:rPr>
        <w:t> </w:t>
      </w:r>
      <w:r>
        <w:rPr/>
        <w:t>元收</w:t>
      </w:r>
      <w:r>
        <w:rPr>
          <w:spacing w:val="-93"/>
        </w:rPr>
        <w:t> </w:t>
      </w:r>
      <w:r>
        <w:rPr>
          <w:spacing w:val="-93"/>
        </w:rPr>
      </w:r>
      <w:r>
        <w:rPr/>
        <w:t>入的劳务采购加直接人工成本分别为</w:t>
      </w:r>
      <w:r>
        <w:rPr>
          <w:spacing w:val="-34"/>
        </w:rPr>
        <w:t> </w:t>
      </w:r>
      <w:r>
        <w:rPr/>
        <w:t>0.676</w:t>
      </w:r>
      <w:r>
        <w:rPr>
          <w:spacing w:val="-34"/>
        </w:rPr>
        <w:t> </w:t>
      </w:r>
      <w:r>
        <w:rPr/>
        <w:t>元、0.677</w:t>
      </w:r>
      <w:r>
        <w:rPr>
          <w:spacing w:val="-32"/>
        </w:rPr>
        <w:t> </w:t>
      </w:r>
      <w:r>
        <w:rPr/>
        <w:t>元、0.676</w:t>
      </w:r>
      <w:r>
        <w:rPr>
          <w:spacing w:val="-32"/>
        </w:rPr>
        <w:t> </w:t>
      </w:r>
      <w:r>
        <w:rPr/>
        <w:t>元，长实通信将以性价比更好的</w:t>
      </w:r>
      <w:r>
        <w:rPr>
          <w:w w:val="100"/>
        </w:rPr>
        <w:t> </w:t>
      </w:r>
      <w:r>
        <w:rPr>
          <w:spacing w:val="-2"/>
        </w:rPr>
        <w:t>代维服务、增加业务量、提高代维人员“一专多能”素质来应对客户有意控制费用、人工成本上升</w:t>
      </w:r>
      <w:r>
        <w:rPr>
          <w:spacing w:val="-46"/>
        </w:rPr>
        <w:t> </w:t>
      </w:r>
      <w:r>
        <w:rPr>
          <w:spacing w:val="-46"/>
        </w:rPr>
      </w:r>
      <w:r>
        <w:rPr/>
        <w:t>的困难，将增加公司未来经营业绩。</w:t>
      </w:r>
    </w:p>
    <w:p>
      <w:pPr>
        <w:spacing w:line="240" w:lineRule="auto" w:before="6"/>
        <w:rPr>
          <w:rFonts w:ascii="宋体" w:hAnsi="宋体" w:cs="宋体" w:eastAsia="宋体" w:hint="default"/>
          <w:sz w:val="24"/>
          <w:szCs w:val="24"/>
        </w:rPr>
      </w:pPr>
    </w:p>
    <w:p>
      <w:pPr>
        <w:pStyle w:val="BodyText"/>
        <w:spacing w:line="408" w:lineRule="auto" w:before="0"/>
        <w:ind w:right="6976"/>
        <w:jc w:val="left"/>
      </w:pPr>
      <w:r>
        <w:rPr>
          <w:spacing w:val="-2"/>
        </w:rPr>
        <w:t>二、公司发展战略</w:t>
      </w:r>
      <w:r>
        <w:rPr>
          <w:spacing w:val="-89"/>
        </w:rPr>
        <w:t> </w:t>
      </w:r>
      <w:r>
        <w:rPr>
          <w:spacing w:val="-89"/>
        </w:rPr>
      </w:r>
      <w:r>
        <w:rPr/>
        <w:t>(一)</w:t>
      </w:r>
      <w:r>
        <w:rPr>
          <w:spacing w:val="2"/>
        </w:rPr>
        <w:t> </w:t>
      </w:r>
      <w:r>
        <w:rPr/>
        <w:t>行业壁垒</w:t>
      </w:r>
    </w:p>
    <w:p>
      <w:pPr>
        <w:pStyle w:val="BodyText"/>
        <w:spacing w:line="227" w:lineRule="exact" w:before="0"/>
        <w:ind w:right="168"/>
        <w:jc w:val="left"/>
      </w:pPr>
      <w:r>
        <w:rPr/>
        <w:t>1、公司信息智能传输业务有许可准入、客户资源、技术及服务等壁垒。</w:t>
      </w:r>
    </w:p>
    <w:p>
      <w:pPr>
        <w:pStyle w:val="BodyText"/>
        <w:spacing w:line="273" w:lineRule="auto" w:before="37"/>
        <w:ind w:left="153" w:right="153" w:firstLine="420"/>
        <w:jc w:val="both"/>
      </w:pPr>
      <w:r>
        <w:rPr>
          <w:spacing w:val="-2"/>
        </w:rPr>
        <w:t>移动信息服务的企业根据行业准入规定，须取得国家工信部或省级电信管理部门核发的增值电</w:t>
      </w:r>
      <w:r>
        <w:rPr>
          <w:w w:val="100"/>
        </w:rPr>
        <w:t> </w:t>
      </w:r>
      <w:r>
        <w:rPr>
          <w:spacing w:val="-2"/>
        </w:rPr>
        <w:t>信业务经营许可证。取得经营许可的门槛条件不高，但客户资源的形成、积累并不容易，需要长期</w:t>
      </w:r>
      <w:r>
        <w:rPr>
          <w:spacing w:val="-45"/>
        </w:rPr>
        <w:t> </w:t>
      </w:r>
      <w:r>
        <w:rPr>
          <w:spacing w:val="-45"/>
        </w:rPr>
      </w:r>
      <w:r>
        <w:rPr>
          <w:spacing w:val="-2"/>
        </w:rPr>
        <w:t>市场竞争得到客户及运营商的认同。取得认同包括长期成为行业分布广泛、业务量大、质量高的客</w:t>
      </w:r>
      <w:r>
        <w:rPr>
          <w:spacing w:val="-46"/>
        </w:rPr>
        <w:t> </w:t>
      </w:r>
      <w:r>
        <w:rPr>
          <w:spacing w:val="-46"/>
        </w:rPr>
      </w:r>
      <w:r>
        <w:rPr>
          <w:spacing w:val="-2"/>
        </w:rPr>
        <w:t>户广泛选择的合作方，客户发送的短信内容真实符合运营商的管控要求，具备不断改善客户体验、</w:t>
      </w:r>
      <w:r>
        <w:rPr>
          <w:spacing w:val="-26"/>
        </w:rPr>
        <w:t> </w:t>
      </w:r>
      <w:r>
        <w:rPr>
          <w:spacing w:val="-26"/>
        </w:rPr>
      </w:r>
      <w:r>
        <w:rPr>
          <w:spacing w:val="-2"/>
        </w:rPr>
        <w:t>满足服务需求的能力。这就要求移动信息服务企业具有持续开发优化运行系统的技术力量，该系统</w:t>
      </w:r>
      <w:r>
        <w:rPr>
          <w:spacing w:val="-43"/>
        </w:rPr>
        <w:t> </w:t>
      </w:r>
      <w:r>
        <w:rPr>
          <w:spacing w:val="-43"/>
        </w:rPr>
      </w:r>
      <w:r>
        <w:rPr>
          <w:spacing w:val="-2"/>
        </w:rPr>
        <w:t>既要兼容运营商之间较为复杂且各不相同的技术标准，又要满足客户发送需求日益呈现随机性、突</w:t>
      </w:r>
      <w:r>
        <w:rPr>
          <w:spacing w:val="-43"/>
        </w:rPr>
        <w:t> </w:t>
      </w:r>
      <w:r>
        <w:rPr>
          <w:spacing w:val="-43"/>
        </w:rPr>
      </w:r>
      <w:r>
        <w:rPr>
          <w:spacing w:val="-2"/>
        </w:rPr>
        <w:t>发性、多样性等特点，同时保障不断提高的发送量峰值时段的有效性、稳定性及短信内容涉及的客</w:t>
      </w:r>
      <w:r>
        <w:rPr>
          <w:spacing w:val="-47"/>
        </w:rPr>
        <w:t> </w:t>
      </w:r>
      <w:r>
        <w:rPr>
          <w:spacing w:val="-47"/>
        </w:rPr>
      </w:r>
      <w:r>
        <w:rPr>
          <w:spacing w:val="-2"/>
        </w:rPr>
        <w:t>户商业机密与终端消费者隐私信息的安全。创世漫道作为综合信息服务商，拥有的客户资源、技术</w:t>
      </w:r>
      <w:r>
        <w:rPr>
          <w:spacing w:val="-46"/>
        </w:rPr>
        <w:t> </w:t>
      </w:r>
      <w:r>
        <w:rPr>
          <w:spacing w:val="-46"/>
        </w:rPr>
      </w:r>
      <w:r>
        <w:rPr/>
        <w:t>及服务壁垒对信息传输行业新进入者构成难以逾越的挑战，却是创世漫道的优势所在(创世漫道的</w:t>
      </w:r>
      <w:r>
        <w:rPr>
          <w:spacing w:val="-24"/>
        </w:rPr>
        <w:t> </w:t>
      </w:r>
      <w:r>
        <w:rPr>
          <w:spacing w:val="-24"/>
        </w:rPr>
      </w:r>
      <w:r>
        <w:rPr/>
        <w:t>优势可阅读本报告第三章“三、核心竞争力分析”的相关内容)。</w:t>
      </w:r>
    </w:p>
    <w:p>
      <w:pPr>
        <w:pStyle w:val="BodyText"/>
        <w:spacing w:line="273" w:lineRule="auto" w:before="70"/>
        <w:ind w:right="168"/>
        <w:jc w:val="left"/>
      </w:pPr>
      <w:r>
        <w:rPr/>
        <w:t>2、公司通信网络维护业务有专业资质、品牌、人才等壁垒。</w:t>
      </w:r>
      <w:r>
        <w:rPr>
          <w:w w:val="100"/>
        </w:rPr>
        <w:t> </w:t>
      </w:r>
      <w:r>
        <w:rPr>
          <w:spacing w:val="2"/>
        </w:rPr>
        <w:t>通信技术服务(含通信网络维护)企业需要获得行业资质，不具备相应资质的企业无法进入投</w:t>
      </w:r>
    </w:p>
    <w:p>
      <w:pPr>
        <w:pStyle w:val="BodyText"/>
        <w:spacing w:line="273" w:lineRule="auto"/>
        <w:ind w:left="153" w:right="153"/>
        <w:jc w:val="both"/>
      </w:pPr>
      <w:r>
        <w:rPr>
          <w:spacing w:val="-2"/>
        </w:rPr>
        <w:t>标，对想取得资质的企业设有注册资本、业务规模、人才配备、专业技术职称、安全运营记录等较</w:t>
      </w:r>
      <w:r>
        <w:rPr>
          <w:spacing w:val="-47"/>
        </w:rPr>
        <w:t> </w:t>
      </w:r>
      <w:r>
        <w:rPr>
          <w:spacing w:val="-47"/>
        </w:rPr>
      </w:r>
      <w:r>
        <w:rPr>
          <w:spacing w:val="-2"/>
        </w:rPr>
        <w:t>为严格的要求。通信网络建设和运营将影响到全社会日常生产生活的各个领域，运营商为了确保网</w:t>
      </w:r>
      <w:r>
        <w:rPr>
          <w:spacing w:val="-43"/>
        </w:rPr>
        <w:t> </w:t>
      </w:r>
      <w:r>
        <w:rPr>
          <w:spacing w:val="-43"/>
        </w:rPr>
      </w:r>
      <w:r>
        <w:rPr>
          <w:spacing w:val="-2"/>
        </w:rPr>
        <w:t>络系统的可靠性、稳定性以及运行效率，对通信技术服务商的选择非常慎重，对合作方的资质、技</w:t>
      </w:r>
      <w:r>
        <w:rPr>
          <w:spacing w:val="-43"/>
        </w:rPr>
        <w:t> </w:t>
      </w:r>
      <w:r>
        <w:rPr>
          <w:spacing w:val="-43"/>
        </w:rPr>
      </w:r>
      <w:r>
        <w:rPr>
          <w:spacing w:val="-2"/>
        </w:rPr>
        <w:t>术水平、市场信誉以及历史上成功参与重大项目情况等品牌要素会提出较高的要求，一旦被运营商</w:t>
      </w:r>
      <w:r>
        <w:rPr>
          <w:spacing w:val="-42"/>
        </w:rPr>
        <w:t> </w:t>
      </w:r>
      <w:r>
        <w:rPr>
          <w:spacing w:val="-42"/>
        </w:rPr>
      </w:r>
      <w:r>
        <w:rPr>
          <w:spacing w:val="-2"/>
        </w:rPr>
        <w:t>招标选定且成为稳定的合作伙伴，一般不会轻易替换。同时通信技术服务行业对于人才素质要求较</w:t>
      </w:r>
      <w:r>
        <w:rPr>
          <w:spacing w:val="-46"/>
        </w:rPr>
        <w:t> </w:t>
      </w:r>
      <w:r>
        <w:rPr>
          <w:spacing w:val="-46"/>
        </w:rPr>
      </w:r>
      <w:r>
        <w:rPr>
          <w:spacing w:val="-2"/>
        </w:rPr>
        <w:t>高，从业者不仅需要熟练掌握通信网络相关专业知识，还要具备多年的现场工作经验，精通基站、</w:t>
      </w:r>
      <w:r>
        <w:rPr>
          <w:spacing w:val="-25"/>
        </w:rPr>
        <w:t> </w:t>
      </w:r>
      <w:r>
        <w:rPr>
          <w:spacing w:val="-25"/>
        </w:rPr>
      </w:r>
      <w:r>
        <w:rPr>
          <w:spacing w:val="-4"/>
        </w:rPr>
        <w:t>线路、宽带接入、固定电话接入、WLAN </w:t>
      </w:r>
      <w:r>
        <w:rPr>
          <w:spacing w:val="-3"/>
        </w:rPr>
        <w:t>等某个或多个技术专业领域，并熟练掌握各种网络制式和通</w:t>
      </w:r>
      <w:r>
        <w:rPr>
          <w:spacing w:val="-83"/>
        </w:rPr>
        <w:t> </w:t>
      </w:r>
      <w:r>
        <w:rPr>
          <w:spacing w:val="-83"/>
        </w:rPr>
      </w:r>
      <w:r>
        <w:rPr>
          <w:spacing w:val="-2"/>
        </w:rPr>
        <w:t>信设备的技术要求。专业资质、品牌、人才壁垒对网络维护行业的新进入者构成阻碍，却是长实通</w:t>
      </w:r>
      <w:r>
        <w:rPr>
          <w:spacing w:val="-46"/>
        </w:rPr>
        <w:t> </w:t>
      </w:r>
      <w:r>
        <w:rPr>
          <w:spacing w:val="-46"/>
        </w:rPr>
      </w:r>
      <w:r>
        <w:rPr/>
        <w:t>信的优势所在(长实通信的优势可阅读本报告第三章“三、核心竞争力分析”的相关内容)。</w:t>
      </w:r>
    </w:p>
    <w:p>
      <w:pPr>
        <w:pStyle w:val="BodyText"/>
        <w:spacing w:line="326" w:lineRule="auto" w:before="164"/>
        <w:ind w:right="168"/>
        <w:jc w:val="left"/>
      </w:pPr>
      <w:r>
        <w:rPr/>
        <w:t>(二) 发展战略</w:t>
      </w:r>
      <w:r>
        <w:rPr>
          <w:spacing w:val="-103"/>
        </w:rPr>
        <w:t> </w:t>
      </w:r>
      <w:r>
        <w:rPr>
          <w:spacing w:val="-103"/>
        </w:rPr>
      </w:r>
      <w:r>
        <w:rPr/>
        <w:t>1、微信的发展有代替个人点对点之间短信息传递的趋势，但微信在时效性、法律认证、第三</w:t>
      </w:r>
    </w:p>
    <w:p>
      <w:pPr>
        <w:pStyle w:val="BodyText"/>
        <w:spacing w:line="236" w:lineRule="exact" w:before="0"/>
        <w:ind w:left="153" w:right="0"/>
        <w:jc w:val="both"/>
      </w:pPr>
      <w:r>
        <w:rPr/>
        <w:t>方平台等方面的障碍，又制约了其对企业短信市场的冲击，尚无微信替代企业短信之忧。据工信部</w:t>
      </w:r>
    </w:p>
    <w:p>
      <w:pPr>
        <w:pStyle w:val="BodyText"/>
        <w:spacing w:line="273" w:lineRule="auto" w:before="37"/>
        <w:ind w:left="153" w:right="170"/>
        <w:jc w:val="both"/>
      </w:pPr>
      <w:r>
        <w:rPr/>
        <w:t>网站通信业统计公报，受</w:t>
      </w:r>
      <w:r>
        <w:rPr>
          <w:color w:val="070707"/>
        </w:rPr>
        <w:t>点对点短信量下降</w:t>
      </w:r>
      <w:r>
        <w:rPr/>
        <w:t>影响，全国移动短信业务量自 2013</w:t>
      </w:r>
      <w:r>
        <w:rPr>
          <w:spacing w:val="-23"/>
        </w:rPr>
        <w:t> </w:t>
      </w:r>
      <w:r>
        <w:rPr/>
        <w:t>年以来连续五年下</w:t>
      </w:r>
      <w:r>
        <w:rPr>
          <w:w w:val="100"/>
        </w:rPr>
        <w:t> </w:t>
      </w:r>
      <w:r>
        <w:rPr/>
        <w:t>降，降幅同比分别为</w:t>
      </w:r>
      <w:r>
        <w:rPr>
          <w:spacing w:val="-65"/>
        </w:rPr>
        <w:t> </w:t>
      </w:r>
      <w:r>
        <w:rPr/>
        <w:t>0.6%、14.0%、8.9%、4.6%、0.4%，但是近四年来降幅越来越小，2017</w:t>
      </w:r>
      <w:r>
        <w:rPr>
          <w:spacing w:val="-66"/>
        </w:rPr>
        <w:t> </w:t>
      </w:r>
      <w:r>
        <w:rPr/>
        <w:t>年降幅</w:t>
      </w:r>
      <w:r>
        <w:rPr>
          <w:w w:val="100"/>
        </w:rPr>
        <w:t> </w:t>
      </w:r>
      <w:r>
        <w:rPr/>
        <w:t>最小，说明全国触发类和有真实需求的企业对个人的移动短信业务量逐年扩大且持续上升。</w:t>
      </w:r>
    </w:p>
    <w:p>
      <w:pPr>
        <w:pStyle w:val="BodyText"/>
        <w:spacing w:line="273" w:lineRule="auto" w:before="70"/>
        <w:ind w:left="153" w:right="101" w:firstLine="420"/>
        <w:jc w:val="left"/>
      </w:pPr>
      <w:r>
        <w:rPr/>
        <w:t>2、由于信息智能传输业务和通信网络维护业务的客户有意控制费用，限制价格上升，公司两</w:t>
      </w:r>
      <w:r>
        <w:rPr>
          <w:w w:val="100"/>
        </w:rPr>
        <w:t> </w:t>
      </w:r>
      <w:r>
        <w:rPr>
          <w:spacing w:val="-2"/>
        </w:rPr>
        <w:t>块业务在市场上存在价格竞争。有相对稍低的价格，短信量上升，网络维护业务中标概率大，但等</w:t>
      </w:r>
      <w:r>
        <w:rPr>
          <w:spacing w:val="-46"/>
        </w:rPr>
        <w:t> </w:t>
      </w:r>
      <w:r>
        <w:rPr>
          <w:spacing w:val="-46"/>
        </w:rPr>
      </w:r>
      <w:r>
        <w:rPr>
          <w:spacing w:val="-2"/>
        </w:rPr>
        <w:t>量的短信收入和网络维护收入会减少。2014—2017</w:t>
      </w:r>
      <w:r>
        <w:rPr/>
        <w:t> </w:t>
      </w:r>
      <w:r>
        <w:rPr>
          <w:spacing w:val="-2"/>
        </w:rPr>
        <w:t>年创世漫道、长实通信的毛利率未有大的波动，</w:t>
      </w:r>
      <w:r>
        <w:rPr>
          <w:spacing w:val="-70"/>
        </w:rPr>
        <w:t> </w:t>
      </w:r>
      <w:r>
        <w:rPr>
          <w:spacing w:val="-70"/>
        </w:rPr>
      </w:r>
      <w:r>
        <w:rPr/>
        <w:t>通过提高服务质量，保持盈利能力，增加业务量，参与竞争。</w:t>
      </w:r>
    </w:p>
    <w:p>
      <w:pPr>
        <w:pStyle w:val="BodyText"/>
        <w:spacing w:line="240" w:lineRule="auto" w:before="70"/>
        <w:ind w:right="168"/>
        <w:jc w:val="left"/>
      </w:pPr>
      <w:r>
        <w:rPr/>
        <w:t>3、公司信息智能传输服务、通信网络维护服务面临着国家大力支持、行业规范治理、迅速发</w:t>
      </w:r>
    </w:p>
    <w:p>
      <w:pPr>
        <w:spacing w:after="0" w:line="240" w:lineRule="auto"/>
        <w:jc w:val="left"/>
        <w:sectPr>
          <w:pgSz w:w="11910" w:h="16840"/>
          <w:pgMar w:header="884" w:footer="1000" w:top="1140" w:bottom="1200" w:left="1320" w:right="1240"/>
        </w:sectPr>
      </w:pPr>
    </w:p>
    <w:p>
      <w:pPr>
        <w:pStyle w:val="BodyText"/>
        <w:spacing w:line="273" w:lineRule="auto" w:before="131"/>
        <w:ind w:left="153" w:right="46"/>
        <w:jc w:val="left"/>
      </w:pPr>
      <w:r>
        <w:rPr/>
        <w:t>展的机遇，同时面临技术、人才、价格竞争的挑战，公司将关注行业、竞争对手的动态，重视成本</w:t>
      </w:r>
      <w:r>
        <w:rPr>
          <w:w w:val="100"/>
        </w:rPr>
        <w:t> </w:t>
      </w:r>
      <w:r>
        <w:rPr/>
        <w:t>尤其是人工成本持续上升的压力，保持核心竞争力，创新发展现有主要业务，寻求与主业相关的新</w:t>
      </w:r>
      <w:r>
        <w:rPr>
          <w:w w:val="100"/>
        </w:rPr>
        <w:t> </w:t>
      </w:r>
      <w:r>
        <w:rPr/>
        <w:t>业务，按照公司章程规定分红回报投资者。公司的发展战略将坚持技术进步和服务客户，让消费者</w:t>
      </w:r>
      <w:r>
        <w:rPr>
          <w:w w:val="100"/>
        </w:rPr>
        <w:t> </w:t>
      </w:r>
      <w:r>
        <w:rPr/>
        <w:t>满意，以市场、客户需求为定位，以信息智能传输服务和通信网络维护服务为主要经营业务和发展</w:t>
      </w:r>
      <w:r>
        <w:rPr>
          <w:w w:val="100"/>
        </w:rPr>
        <w:t> </w:t>
      </w:r>
      <w:r>
        <w:rPr>
          <w:spacing w:val="-5"/>
        </w:rPr>
        <w:t>方向、辅之相关业务，以员工为本、以追求利润回报投资者和追求社会及市场良好影响为长远目标，</w:t>
      </w:r>
      <w:r>
        <w:rPr>
          <w:spacing w:val="-16"/>
        </w:rPr>
        <w:t> </w:t>
      </w:r>
      <w:r>
        <w:rPr>
          <w:spacing w:val="-16"/>
        </w:rPr>
      </w:r>
      <w:r>
        <w:rPr/>
        <w:t>促进通信技术、互联网的融合和业务长期健康发展，打造领先的信息技术企业。</w:t>
      </w:r>
    </w:p>
    <w:p>
      <w:pPr>
        <w:pStyle w:val="BodyText"/>
        <w:spacing w:line="273" w:lineRule="auto" w:before="70"/>
        <w:ind w:left="153" w:right="109" w:firstLine="420"/>
        <w:jc w:val="both"/>
      </w:pPr>
      <w:r>
        <w:rPr/>
        <w:t>4、公司主业外部环境较好，围绕实施网络强国战略，加强信息网络建设，积极发展移动互联</w:t>
      </w:r>
      <w:r>
        <w:rPr>
          <w:w w:val="100"/>
        </w:rPr>
        <w:t> </w:t>
      </w:r>
      <w:r>
        <w:rPr/>
        <w:t>网等新型业务，全行业保持健康发展。公司信息智能传输和通信网络维护业务具备较好的外部环境</w:t>
      </w:r>
      <w:r>
        <w:rPr>
          <w:w w:val="100"/>
        </w:rPr>
        <w:t> </w:t>
      </w:r>
      <w:r>
        <w:rPr>
          <w:spacing w:val="2"/>
        </w:rPr>
        <w:t>及市场基础(有关情况可阅读本报告本章第一节概述的相关内容)。报告期公司信息传输收入占比</w:t>
      </w:r>
      <w:r>
        <w:rPr>
          <w:spacing w:val="-20"/>
        </w:rPr>
        <w:t> </w:t>
      </w:r>
      <w:r>
        <w:rPr>
          <w:spacing w:val="-20"/>
        </w:rPr>
      </w:r>
      <w:r>
        <w:rPr>
          <w:spacing w:val="-5"/>
        </w:rPr>
        <w:t>25.53%，通信网络维护收入占比</w:t>
      </w:r>
      <w:r>
        <w:rPr>
          <w:spacing w:val="11"/>
        </w:rPr>
        <w:t> </w:t>
      </w:r>
      <w:r>
        <w:rPr>
          <w:spacing w:val="-5"/>
        </w:rPr>
        <w:t>64.40%。为保证公司发展战略的实施，拟定公司业务发展规划如下：</w:t>
      </w:r>
    </w:p>
    <w:p>
      <w:pPr>
        <w:pStyle w:val="BodyText"/>
        <w:spacing w:line="273" w:lineRule="auto" w:before="70"/>
        <w:ind w:left="153" w:right="210" w:firstLine="420"/>
        <w:jc w:val="both"/>
      </w:pPr>
      <w:r>
        <w:rPr/>
        <w:t>(1)</w:t>
      </w:r>
      <w:r>
        <w:rPr>
          <w:spacing w:val="-19"/>
        </w:rPr>
        <w:t> </w:t>
      </w:r>
      <w:r>
        <w:rPr/>
        <w:t>创世漫道将面向互联网及金融机构，做大做强做好以大数据及人工智能为核心能力的云平</w:t>
      </w:r>
      <w:r>
        <w:rPr>
          <w:w w:val="100"/>
        </w:rPr>
        <w:t> </w:t>
      </w:r>
      <w:r>
        <w:rPr>
          <w:spacing w:val="-2"/>
        </w:rPr>
        <w:t>台服务商，保持业界持续领先；拓展营销及会员推广市场，扩大市场规模；通过推进报告期开始的</w:t>
      </w:r>
      <w:r>
        <w:rPr>
          <w:spacing w:val="-45"/>
        </w:rPr>
        <w:t> </w:t>
      </w:r>
      <w:r>
        <w:rPr>
          <w:spacing w:val="-45"/>
        </w:rPr>
      </w:r>
      <w:r>
        <w:rPr>
          <w:spacing w:val="-2"/>
        </w:rPr>
        <w:t>重大资产重组，与标的资产嘉华信息整合客户资源；通过客户分省落地及云平台的通道资源分配系</w:t>
      </w:r>
      <w:r>
        <w:rPr>
          <w:spacing w:val="-47"/>
        </w:rPr>
        <w:t> </w:t>
      </w:r>
      <w:r>
        <w:rPr>
          <w:spacing w:val="-47"/>
        </w:rPr>
      </w:r>
      <w:r>
        <w:rPr/>
        <w:t>统增强盈利能力；以保持整体竞争力的持续和提升。</w:t>
      </w:r>
    </w:p>
    <w:p>
      <w:pPr>
        <w:pStyle w:val="BodyText"/>
        <w:spacing w:line="273" w:lineRule="auto" w:before="70"/>
        <w:ind w:left="153" w:right="210" w:firstLine="420"/>
        <w:jc w:val="both"/>
      </w:pPr>
      <w:r>
        <w:rPr/>
        <w:t>(2)</w:t>
      </w:r>
      <w:r>
        <w:rPr>
          <w:spacing w:val="-19"/>
        </w:rPr>
        <w:t> </w:t>
      </w:r>
      <w:r>
        <w:rPr/>
        <w:t>长实通信是国内领先的通信网络综合代维服务商，继续专业、专注于通信网络维护业务的</w:t>
      </w:r>
      <w:r>
        <w:rPr>
          <w:w w:val="100"/>
        </w:rPr>
        <w:t> </w:t>
      </w:r>
      <w:r>
        <w:rPr/>
        <w:t>发展，做好做强存量区域市场，精耕细作，逐步拓展新区域市场，继续做大规模。跟踪客户(电信</w:t>
      </w:r>
      <w:r>
        <w:rPr>
          <w:spacing w:val="-25"/>
        </w:rPr>
        <w:t> </w:t>
      </w:r>
      <w:r>
        <w:rPr>
          <w:spacing w:val="-25"/>
        </w:rPr>
      </w:r>
      <w:r>
        <w:rPr/>
        <w:t>运营商)的</w:t>
      </w:r>
      <w:r>
        <w:rPr>
          <w:spacing w:val="-56"/>
        </w:rPr>
        <w:t> </w:t>
      </w:r>
      <w:r>
        <w:rPr/>
        <w:t>5G</w:t>
      </w:r>
      <w:r>
        <w:rPr>
          <w:spacing w:val="-54"/>
        </w:rPr>
        <w:t> </w:t>
      </w:r>
      <w:r>
        <w:rPr/>
        <w:t>规划，组织</w:t>
      </w:r>
      <w:r>
        <w:rPr>
          <w:spacing w:val="-56"/>
        </w:rPr>
        <w:t> </w:t>
      </w:r>
      <w:r>
        <w:rPr/>
        <w:t>5G</w:t>
      </w:r>
      <w:r>
        <w:rPr>
          <w:spacing w:val="-54"/>
        </w:rPr>
        <w:t> </w:t>
      </w:r>
      <w:r>
        <w:rPr/>
        <w:t>技术培训，储备</w:t>
      </w:r>
      <w:r>
        <w:rPr>
          <w:spacing w:val="-53"/>
        </w:rPr>
        <w:t> </w:t>
      </w:r>
      <w:r>
        <w:rPr/>
        <w:t>5G</w:t>
      </w:r>
      <w:r>
        <w:rPr>
          <w:spacing w:val="-54"/>
        </w:rPr>
        <w:t> </w:t>
      </w:r>
      <w:r>
        <w:rPr/>
        <w:t>技术人才，为</w:t>
      </w:r>
      <w:r>
        <w:rPr>
          <w:spacing w:val="-54"/>
        </w:rPr>
        <w:t> </w:t>
      </w:r>
      <w:r>
        <w:rPr/>
        <w:t>5G</w:t>
      </w:r>
      <w:r>
        <w:rPr>
          <w:spacing w:val="-56"/>
        </w:rPr>
        <w:t> </w:t>
      </w:r>
      <w:r>
        <w:rPr/>
        <w:t>商用临近的维护业务做好准备。</w:t>
      </w:r>
    </w:p>
    <w:p>
      <w:pPr>
        <w:pStyle w:val="BodyText"/>
        <w:spacing w:line="273" w:lineRule="auto" w:before="70"/>
        <w:ind w:left="153" w:right="46" w:firstLine="420"/>
        <w:jc w:val="left"/>
      </w:pPr>
      <w:r>
        <w:rPr/>
        <w:t>(3)</w:t>
      </w:r>
      <w:r>
        <w:rPr>
          <w:spacing w:val="-13"/>
        </w:rPr>
        <w:t> </w:t>
      </w:r>
      <w:r>
        <w:rPr/>
        <w:t>发展与主业相关的新业务。依托现有客户、技术、人才基础，开展移动互联网软件开发及</w:t>
      </w:r>
      <w:r>
        <w:rPr>
          <w:w w:val="100"/>
        </w:rPr>
        <w:t> </w:t>
      </w:r>
      <w:r>
        <w:rPr>
          <w:spacing w:val="-5"/>
        </w:rPr>
        <w:t>应用服务，逐步做大做好保险、金融、互联网行业软件产品服务；开展与网络维护相关的工程业务、</w:t>
      </w:r>
      <w:r>
        <w:rPr>
          <w:spacing w:val="-14"/>
        </w:rPr>
        <w:t> </w:t>
      </w:r>
      <w:r>
        <w:rPr>
          <w:spacing w:val="-14"/>
        </w:rPr>
      </w:r>
      <w:r>
        <w:rPr/>
        <w:t>包括人工智能算力中心和区块链算力中心的</w:t>
      </w:r>
      <w:r>
        <w:rPr>
          <w:spacing w:val="-55"/>
        </w:rPr>
        <w:t> </w:t>
      </w:r>
      <w:r>
        <w:rPr/>
        <w:t>IDC</w:t>
      </w:r>
      <w:r>
        <w:rPr>
          <w:spacing w:val="-55"/>
        </w:rPr>
        <w:t> </w:t>
      </w:r>
      <w:r>
        <w:rPr/>
        <w:t>机房建设及维护业务。</w:t>
      </w:r>
    </w:p>
    <w:p>
      <w:pPr>
        <w:spacing w:line="240" w:lineRule="auto" w:before="6"/>
        <w:rPr>
          <w:rFonts w:ascii="宋体" w:hAnsi="宋体" w:cs="宋体" w:eastAsia="宋体" w:hint="default"/>
          <w:sz w:val="24"/>
          <w:szCs w:val="24"/>
        </w:rPr>
      </w:pPr>
    </w:p>
    <w:p>
      <w:pPr>
        <w:pStyle w:val="BodyText"/>
        <w:spacing w:line="240" w:lineRule="auto" w:before="0"/>
        <w:ind w:right="46"/>
        <w:jc w:val="left"/>
      </w:pPr>
      <w:r>
        <w:rPr/>
        <w:t>三、经营计划</w:t>
      </w:r>
    </w:p>
    <w:p>
      <w:pPr>
        <w:spacing w:line="240" w:lineRule="auto" w:before="10"/>
        <w:rPr>
          <w:rFonts w:ascii="宋体" w:hAnsi="宋体" w:cs="宋体" w:eastAsia="宋体" w:hint="default"/>
          <w:sz w:val="14"/>
          <w:szCs w:val="14"/>
        </w:rPr>
      </w:pPr>
    </w:p>
    <w:p>
      <w:pPr>
        <w:pStyle w:val="BodyText"/>
        <w:spacing w:line="326" w:lineRule="auto" w:before="0"/>
        <w:ind w:right="204"/>
        <w:jc w:val="left"/>
      </w:pPr>
      <w:r>
        <w:rPr/>
        <w:t>(一)</w:t>
      </w:r>
      <w:r>
        <w:rPr>
          <w:spacing w:val="-2"/>
        </w:rPr>
        <w:t> </w:t>
      </w:r>
      <w:r>
        <w:rPr/>
        <w:t>前期经营计划在报告期内的进展</w:t>
      </w:r>
      <w:r>
        <w:rPr>
          <w:w w:val="100"/>
        </w:rPr>
        <w:t> </w:t>
      </w:r>
      <w:r>
        <w:rPr/>
        <w:t>1、报告期子公司创世漫道经营计划完成情况良好。本期创世漫道实现营业收入 70,312.27</w:t>
      </w:r>
      <w:r>
        <w:rPr>
          <w:spacing w:val="-22"/>
        </w:rPr>
        <w:t> </w:t>
      </w:r>
      <w:r>
        <w:rPr/>
        <w:t>万</w:t>
      </w:r>
    </w:p>
    <w:p>
      <w:pPr>
        <w:pStyle w:val="BodyText"/>
        <w:spacing w:line="234" w:lineRule="exact" w:before="0"/>
        <w:ind w:left="153" w:right="46"/>
        <w:jc w:val="left"/>
      </w:pPr>
      <w:r>
        <w:rPr>
          <w:spacing w:val="6"/>
        </w:rPr>
        <w:t>元(创世漫道报表数.下同)、占计划 </w:t>
      </w:r>
      <w:r>
        <w:rPr/>
        <w:t>85,000 </w:t>
      </w:r>
      <w:r>
        <w:rPr>
          <w:spacing w:val="4"/>
        </w:rPr>
        <w:t>万元的 </w:t>
      </w:r>
      <w:r>
        <w:rPr>
          <w:spacing w:val="2"/>
        </w:rPr>
        <w:t>82.72%、同比增幅</w:t>
      </w:r>
      <w:r>
        <w:rPr>
          <w:spacing w:val="103"/>
        </w:rPr>
        <w:t> </w:t>
      </w:r>
      <w:r>
        <w:rPr>
          <w:spacing w:val="3"/>
        </w:rPr>
        <w:t>15.07%，实现净利润为</w:t>
      </w:r>
    </w:p>
    <w:p>
      <w:pPr>
        <w:pStyle w:val="BodyText"/>
        <w:spacing w:line="273" w:lineRule="auto" w:before="37"/>
        <w:ind w:left="153" w:right="210"/>
        <w:jc w:val="both"/>
      </w:pPr>
      <w:r>
        <w:rPr>
          <w:spacing w:val="-1"/>
          <w:w w:val="100"/>
        </w:rPr>
        <w:t>12,683.37</w:t>
      </w:r>
      <w:r>
        <w:rPr>
          <w:spacing w:val="-71"/>
          <w:w w:val="100"/>
        </w:rPr>
        <w:t> </w:t>
      </w:r>
      <w:r>
        <w:rPr>
          <w:spacing w:val="-19"/>
          <w:w w:val="100"/>
        </w:rPr>
        <w:t>万元、占计划</w:t>
      </w:r>
      <w:r>
        <w:rPr>
          <w:spacing w:val="-71"/>
          <w:w w:val="100"/>
        </w:rPr>
        <w:t> </w:t>
      </w:r>
      <w:r>
        <w:rPr>
          <w:spacing w:val="-1"/>
          <w:w w:val="100"/>
        </w:rPr>
        <w:t>13,200</w:t>
      </w:r>
      <w:r>
        <w:rPr>
          <w:spacing w:val="-71"/>
          <w:w w:val="100"/>
        </w:rPr>
        <w:t> </w:t>
      </w:r>
      <w:r>
        <w:rPr>
          <w:spacing w:val="-1"/>
          <w:w w:val="100"/>
        </w:rPr>
        <w:t>万元的</w:t>
      </w:r>
      <w:r>
        <w:rPr>
          <w:spacing w:val="-71"/>
          <w:w w:val="100"/>
        </w:rPr>
        <w:t> </w:t>
      </w:r>
      <w:r>
        <w:rPr>
          <w:spacing w:val="-11"/>
          <w:w w:val="100"/>
        </w:rPr>
        <w:t>96.09%，同比增幅</w:t>
      </w:r>
      <w:r>
        <w:rPr>
          <w:spacing w:val="-71"/>
          <w:w w:val="100"/>
        </w:rPr>
        <w:t> </w:t>
      </w:r>
      <w:r>
        <w:rPr>
          <w:spacing w:val="-7"/>
          <w:w w:val="100"/>
        </w:rPr>
        <w:t>36.01%；创世漫道本期营业成本增幅</w:t>
      </w:r>
      <w:r>
        <w:rPr>
          <w:spacing w:val="-74"/>
          <w:w w:val="100"/>
        </w:rPr>
        <w:t> </w:t>
      </w:r>
      <w:r>
        <w:rPr>
          <w:spacing w:val="-1"/>
          <w:w w:val="100"/>
        </w:rPr>
        <w:t>16.53%</w:t>
      </w:r>
      <w:r>
        <w:rPr>
          <w:spacing w:val="-103"/>
          <w:w w:val="100"/>
        </w:rPr>
        <w:t> </w:t>
      </w:r>
      <w:r>
        <w:rPr>
          <w:spacing w:val="-103"/>
          <w:w w:val="100"/>
        </w:rPr>
      </w:r>
      <w:r>
        <w:rPr/>
        <w:t>较营收增幅高</w:t>
      </w:r>
      <w:r>
        <w:rPr>
          <w:spacing w:val="-46"/>
        </w:rPr>
        <w:t> </w:t>
      </w:r>
      <w:r>
        <w:rPr/>
        <w:t>1.45</w:t>
      </w:r>
      <w:r>
        <w:rPr>
          <w:spacing w:val="-49"/>
        </w:rPr>
        <w:t> </w:t>
      </w:r>
      <w:r>
        <w:rPr/>
        <w:t>个百分点；创世漫道期间费用同比增长</w:t>
      </w:r>
      <w:r>
        <w:rPr>
          <w:spacing w:val="-47"/>
        </w:rPr>
        <w:t> </w:t>
      </w:r>
      <w:r>
        <w:rPr/>
        <w:t>88.40</w:t>
      </w:r>
      <w:r>
        <w:rPr>
          <w:spacing w:val="-46"/>
        </w:rPr>
        <w:t> </w:t>
      </w:r>
      <w:r>
        <w:rPr/>
        <w:t>万元增幅</w:t>
      </w:r>
      <w:r>
        <w:rPr>
          <w:spacing w:val="-47"/>
        </w:rPr>
        <w:t> </w:t>
      </w:r>
      <w:r>
        <w:rPr/>
        <w:t>1.05%,费用增幅低于营</w:t>
      </w:r>
      <w:r>
        <w:rPr>
          <w:w w:val="100"/>
        </w:rPr>
        <w:t> </w:t>
      </w:r>
      <w:r>
        <w:rPr/>
        <w:t>收增幅。</w:t>
      </w:r>
    </w:p>
    <w:p>
      <w:pPr>
        <w:pStyle w:val="BodyText"/>
        <w:spacing w:line="273" w:lineRule="auto" w:before="70"/>
        <w:ind w:left="153" w:right="46" w:firstLine="420"/>
        <w:jc w:val="left"/>
      </w:pPr>
      <w:r>
        <w:rPr/>
        <w:t>2、报告期子公司长实通信经营计划完成情况较好。本期长实通信实现营业收入</w:t>
      </w:r>
      <w:r>
        <w:rPr>
          <w:spacing w:val="-59"/>
        </w:rPr>
        <w:t> </w:t>
      </w:r>
      <w:r>
        <w:rPr/>
        <w:t>140,426.24</w:t>
      </w:r>
      <w:r>
        <w:rPr>
          <w:spacing w:val="-61"/>
        </w:rPr>
        <w:t> </w:t>
      </w:r>
      <w:r>
        <w:rPr/>
        <w:t>万</w:t>
      </w:r>
      <w:r>
        <w:rPr>
          <w:w w:val="100"/>
        </w:rPr>
        <w:t> </w:t>
      </w:r>
      <w:r>
        <w:rPr>
          <w:spacing w:val="-22"/>
          <w:w w:val="100"/>
        </w:rPr>
        <w:t>元、占计划</w:t>
      </w:r>
      <w:r>
        <w:rPr>
          <w:spacing w:val="-63"/>
          <w:w w:val="100"/>
        </w:rPr>
        <w:t> </w:t>
      </w:r>
      <w:r>
        <w:rPr>
          <w:spacing w:val="-1"/>
          <w:w w:val="100"/>
        </w:rPr>
        <w:t>135,000</w:t>
      </w:r>
      <w:r>
        <w:rPr>
          <w:spacing w:val="-63"/>
          <w:w w:val="100"/>
        </w:rPr>
        <w:t> </w:t>
      </w:r>
      <w:r>
        <w:rPr>
          <w:spacing w:val="-1"/>
          <w:w w:val="100"/>
        </w:rPr>
        <w:t>万元的</w:t>
      </w:r>
      <w:r>
        <w:rPr>
          <w:spacing w:val="-63"/>
          <w:w w:val="100"/>
        </w:rPr>
        <w:t> </w:t>
      </w:r>
      <w:r>
        <w:rPr>
          <w:spacing w:val="-10"/>
          <w:w w:val="100"/>
        </w:rPr>
        <w:t>104.02%、同比增幅</w:t>
      </w:r>
      <w:r>
        <w:rPr>
          <w:spacing w:val="-60"/>
          <w:w w:val="100"/>
        </w:rPr>
        <w:t> </w:t>
      </w:r>
      <w:r>
        <w:rPr>
          <w:spacing w:val="-10"/>
          <w:w w:val="100"/>
        </w:rPr>
        <w:t>16.67%，实现净利润为</w:t>
      </w:r>
      <w:r>
        <w:rPr>
          <w:spacing w:val="-63"/>
          <w:w w:val="100"/>
        </w:rPr>
        <w:t> </w:t>
      </w:r>
      <w:r>
        <w:rPr>
          <w:spacing w:val="-1"/>
          <w:w w:val="100"/>
        </w:rPr>
        <w:t>12,584.97</w:t>
      </w:r>
      <w:r>
        <w:rPr>
          <w:spacing w:val="-63"/>
          <w:w w:val="100"/>
        </w:rPr>
        <w:t> </w:t>
      </w:r>
      <w:r>
        <w:rPr>
          <w:spacing w:val="-19"/>
          <w:w w:val="100"/>
        </w:rPr>
        <w:t>万元、占计划</w:t>
      </w:r>
      <w:r>
        <w:rPr>
          <w:spacing w:val="-60"/>
          <w:w w:val="100"/>
        </w:rPr>
        <w:t> </w:t>
      </w:r>
      <w:r>
        <w:rPr>
          <w:spacing w:val="-1"/>
          <w:w w:val="100"/>
        </w:rPr>
        <w:t>13,500</w:t>
      </w:r>
      <w:r>
        <w:rPr>
          <w:spacing w:val="-97"/>
          <w:w w:val="100"/>
        </w:rPr>
        <w:t> </w:t>
      </w:r>
      <w:r>
        <w:rPr>
          <w:spacing w:val="-97"/>
          <w:w w:val="100"/>
        </w:rPr>
      </w:r>
      <w:r>
        <w:rPr/>
        <w:t>万元的</w:t>
      </w:r>
      <w:r>
        <w:rPr>
          <w:spacing w:val="-44"/>
        </w:rPr>
        <w:t> </w:t>
      </w:r>
      <w:r>
        <w:rPr>
          <w:spacing w:val="-5"/>
        </w:rPr>
        <w:t>93.22%，同比增幅</w:t>
      </w:r>
      <w:r>
        <w:rPr>
          <w:spacing w:val="-46"/>
        </w:rPr>
        <w:t> </w:t>
      </w:r>
      <w:r>
        <w:rPr>
          <w:spacing w:val="-4"/>
        </w:rPr>
        <w:t>9.61%；长实通信本期营业成本增幅</w:t>
      </w:r>
      <w:r>
        <w:rPr>
          <w:spacing w:val="-44"/>
        </w:rPr>
        <w:t> </w:t>
      </w:r>
      <w:r>
        <w:rPr/>
        <w:t>18.13%较营收增幅高</w:t>
      </w:r>
      <w:r>
        <w:rPr>
          <w:spacing w:val="-44"/>
        </w:rPr>
        <w:t> </w:t>
      </w:r>
      <w:r>
        <w:rPr/>
        <w:t>1.46</w:t>
      </w:r>
      <w:r>
        <w:rPr>
          <w:spacing w:val="-46"/>
        </w:rPr>
        <w:t> </w:t>
      </w:r>
      <w:r>
        <w:rPr/>
        <w:t>个百分点，</w:t>
      </w:r>
      <w:r>
        <w:rPr>
          <w:spacing w:val="-101"/>
        </w:rPr>
        <w:t> </w:t>
      </w:r>
      <w:r>
        <w:rPr>
          <w:spacing w:val="-101"/>
        </w:rPr>
      </w:r>
      <w:r>
        <w:rPr/>
        <w:t>期间费用同比增幅</w:t>
      </w:r>
      <w:r>
        <w:rPr>
          <w:spacing w:val="-59"/>
        </w:rPr>
        <w:t> </w:t>
      </w:r>
      <w:r>
        <w:rPr/>
        <w:t>5.05%低于营收增幅，营业总成本增幅</w:t>
      </w:r>
      <w:r>
        <w:rPr>
          <w:spacing w:val="-59"/>
        </w:rPr>
        <w:t> </w:t>
      </w:r>
      <w:r>
        <w:rPr/>
        <w:t>16.70%，基本达成费用、成本增幅不高于</w:t>
      </w:r>
      <w:r>
        <w:rPr>
          <w:w w:val="100"/>
        </w:rPr>
        <w:t> </w:t>
      </w:r>
      <w:r>
        <w:rPr/>
        <w:t>营收增幅的计划。</w:t>
      </w:r>
    </w:p>
    <w:p>
      <w:pPr>
        <w:pStyle w:val="BodyText"/>
        <w:spacing w:line="326" w:lineRule="auto" w:before="164"/>
        <w:ind w:right="46" w:firstLine="105"/>
        <w:jc w:val="left"/>
      </w:pPr>
      <w:r>
        <w:rPr/>
        <w:t>(二)</w:t>
      </w:r>
      <w:r>
        <w:rPr>
          <w:spacing w:val="-2"/>
        </w:rPr>
        <w:t> </w:t>
      </w:r>
      <w:r>
        <w:rPr/>
        <w:t>公司</w:t>
      </w:r>
      <w:r>
        <w:rPr>
          <w:spacing w:val="-53"/>
        </w:rPr>
        <w:t> </w:t>
      </w:r>
      <w:r>
        <w:rPr/>
        <w:t>2018</w:t>
      </w:r>
      <w:r>
        <w:rPr>
          <w:spacing w:val="-53"/>
        </w:rPr>
        <w:t> </w:t>
      </w:r>
      <w:r>
        <w:rPr/>
        <w:t>年度经营计划</w:t>
      </w:r>
      <w:r>
        <w:rPr>
          <w:w w:val="100"/>
        </w:rPr>
        <w:t> </w:t>
      </w:r>
      <w:r>
        <w:rPr>
          <w:spacing w:val="-2"/>
        </w:rPr>
        <w:t>1、继续关注市场变化、客户需求、技术进步、竞争对手动态、行业发展趋势，注重增长质量，</w:t>
      </w:r>
    </w:p>
    <w:p>
      <w:pPr>
        <w:pStyle w:val="BodyText"/>
        <w:spacing w:line="236" w:lineRule="exact" w:before="0"/>
        <w:ind w:left="153" w:right="46"/>
        <w:jc w:val="left"/>
      </w:pPr>
      <w:r>
        <w:rPr/>
        <w:t>促进主营业务增长，控制好成本、费用，增强效益。</w:t>
      </w:r>
    </w:p>
    <w:p>
      <w:pPr>
        <w:pStyle w:val="BodyText"/>
        <w:spacing w:line="240" w:lineRule="auto" w:before="99"/>
        <w:ind w:right="46"/>
        <w:jc w:val="left"/>
      </w:pPr>
      <w:r>
        <w:rPr>
          <w:w w:val="100"/>
        </w:rPr>
        <w:t>2</w:t>
      </w:r>
      <w:r>
        <w:rPr>
          <w:spacing w:val="-96"/>
          <w:w w:val="100"/>
        </w:rPr>
        <w:t>、</w:t>
      </w:r>
      <w:r>
        <w:rPr>
          <w:w w:val="100"/>
        </w:rPr>
        <w:t>20</w:t>
      </w:r>
      <w:r>
        <w:rPr>
          <w:spacing w:val="-3"/>
          <w:w w:val="100"/>
        </w:rPr>
        <w:t>1</w:t>
      </w:r>
      <w:r>
        <w:rPr>
          <w:spacing w:val="-1"/>
          <w:w w:val="100"/>
        </w:rPr>
        <w:t>5</w:t>
      </w:r>
      <w:r>
        <w:rPr>
          <w:w w:val="100"/>
        </w:rPr>
        <w:t>—</w:t>
      </w:r>
      <w:r>
        <w:rPr>
          <w:spacing w:val="-3"/>
          <w:w w:val="100"/>
        </w:rPr>
        <w:t>2</w:t>
      </w:r>
      <w:r>
        <w:rPr>
          <w:w w:val="100"/>
        </w:rPr>
        <w:t>017</w:t>
      </w:r>
      <w:r>
        <w:rPr>
          <w:spacing w:val="-55"/>
        </w:rPr>
        <w:t> </w:t>
      </w:r>
      <w:r>
        <w:rPr>
          <w:w w:val="100"/>
        </w:rPr>
        <w:t>年</w:t>
      </w:r>
      <w:r>
        <w:rPr>
          <w:spacing w:val="-3"/>
          <w:w w:val="100"/>
        </w:rPr>
        <w:t>创</w:t>
      </w:r>
      <w:r>
        <w:rPr>
          <w:w w:val="100"/>
        </w:rPr>
        <w:t>世</w:t>
      </w:r>
      <w:r>
        <w:rPr>
          <w:spacing w:val="-3"/>
          <w:w w:val="100"/>
        </w:rPr>
        <w:t>漫道</w:t>
      </w:r>
      <w:r>
        <w:rPr>
          <w:w w:val="100"/>
        </w:rPr>
        <w:t>营收</w:t>
      </w:r>
      <w:r>
        <w:rPr>
          <w:spacing w:val="-3"/>
          <w:w w:val="100"/>
        </w:rPr>
        <w:t>增</w:t>
      </w:r>
      <w:r>
        <w:rPr>
          <w:w w:val="100"/>
        </w:rPr>
        <w:t>幅</w:t>
      </w:r>
      <w:r>
        <w:rPr>
          <w:spacing w:val="-3"/>
          <w:w w:val="100"/>
        </w:rPr>
        <w:t>分别</w:t>
      </w:r>
      <w:r>
        <w:rPr>
          <w:w w:val="100"/>
        </w:rPr>
        <w:t>为</w:t>
      </w:r>
      <w:r>
        <w:rPr>
          <w:spacing w:val="-53"/>
        </w:rPr>
        <w:t> </w:t>
      </w:r>
      <w:r>
        <w:rPr>
          <w:w w:val="100"/>
        </w:rPr>
        <w:t>60</w:t>
      </w:r>
      <w:r>
        <w:rPr>
          <w:spacing w:val="-3"/>
          <w:w w:val="100"/>
        </w:rPr>
        <w:t>.</w:t>
      </w:r>
      <w:r>
        <w:rPr>
          <w:w w:val="100"/>
        </w:rPr>
        <w:t>8</w:t>
      </w:r>
      <w:r>
        <w:rPr>
          <w:spacing w:val="-1"/>
          <w:w w:val="100"/>
        </w:rPr>
        <w:t>6</w:t>
      </w:r>
      <w:r>
        <w:rPr>
          <w:w w:val="100"/>
        </w:rPr>
        <w:t>%</w:t>
      </w:r>
      <w:r>
        <w:rPr>
          <w:spacing w:val="-99"/>
          <w:w w:val="100"/>
        </w:rPr>
        <w:t>、</w:t>
      </w:r>
      <w:r>
        <w:rPr>
          <w:spacing w:val="-3"/>
          <w:w w:val="100"/>
        </w:rPr>
        <w:t>1</w:t>
      </w:r>
      <w:r>
        <w:rPr>
          <w:w w:val="100"/>
        </w:rPr>
        <w:t>7.51</w:t>
      </w:r>
      <w:r>
        <w:rPr>
          <w:spacing w:val="-3"/>
          <w:w w:val="100"/>
        </w:rPr>
        <w:t>%</w:t>
      </w:r>
      <w:r>
        <w:rPr>
          <w:spacing w:val="-97"/>
          <w:w w:val="100"/>
        </w:rPr>
        <w:t>、</w:t>
      </w:r>
      <w:r>
        <w:rPr>
          <w:w w:val="100"/>
        </w:rPr>
        <w:t>15</w:t>
      </w:r>
      <w:r>
        <w:rPr>
          <w:spacing w:val="-3"/>
          <w:w w:val="100"/>
        </w:rPr>
        <w:t>.</w:t>
      </w:r>
      <w:r>
        <w:rPr>
          <w:w w:val="100"/>
        </w:rPr>
        <w:t>07</w:t>
      </w:r>
      <w:r>
        <w:rPr>
          <w:spacing w:val="-3"/>
          <w:w w:val="100"/>
        </w:rPr>
        <w:t>%</w:t>
      </w:r>
      <w:r>
        <w:rPr>
          <w:spacing w:val="-97"/>
          <w:w w:val="100"/>
        </w:rPr>
        <w:t>，</w:t>
      </w:r>
      <w:r>
        <w:rPr>
          <w:spacing w:val="-3"/>
          <w:w w:val="100"/>
        </w:rPr>
        <w:t>净</w:t>
      </w:r>
      <w:r>
        <w:rPr>
          <w:w w:val="100"/>
        </w:rPr>
        <w:t>利</w:t>
      </w:r>
      <w:r>
        <w:rPr>
          <w:spacing w:val="-3"/>
          <w:w w:val="100"/>
        </w:rPr>
        <w:t>润</w:t>
      </w:r>
      <w:r>
        <w:rPr>
          <w:w w:val="100"/>
        </w:rPr>
        <w:t>增</w:t>
      </w:r>
      <w:r>
        <w:rPr>
          <w:spacing w:val="-3"/>
          <w:w w:val="100"/>
        </w:rPr>
        <w:t>幅</w:t>
      </w:r>
      <w:r>
        <w:rPr>
          <w:w w:val="100"/>
        </w:rPr>
        <w:t>分</w:t>
      </w:r>
      <w:r>
        <w:rPr>
          <w:spacing w:val="-3"/>
          <w:w w:val="100"/>
        </w:rPr>
        <w:t>别</w:t>
      </w:r>
      <w:r>
        <w:rPr>
          <w:w w:val="100"/>
        </w:rPr>
        <w:t>为</w:t>
      </w:r>
      <w:r>
        <w:rPr>
          <w:spacing w:val="-53"/>
        </w:rPr>
        <w:t> </w:t>
      </w:r>
      <w:r>
        <w:rPr>
          <w:w w:val="100"/>
        </w:rPr>
        <w:t>21</w:t>
      </w:r>
      <w:r>
        <w:rPr>
          <w:spacing w:val="-3"/>
          <w:w w:val="100"/>
        </w:rPr>
        <w:t>.</w:t>
      </w:r>
      <w:r>
        <w:rPr>
          <w:w w:val="100"/>
        </w:rPr>
        <w:t>0</w:t>
      </w:r>
      <w:r>
        <w:rPr>
          <w:spacing w:val="-1"/>
          <w:w w:val="100"/>
        </w:rPr>
        <w:t>4</w:t>
      </w:r>
      <w:r>
        <w:rPr>
          <w:w w:val="100"/>
        </w:rPr>
        <w:t>%、</w:t>
      </w:r>
    </w:p>
    <w:p>
      <w:pPr>
        <w:pStyle w:val="BodyText"/>
        <w:spacing w:line="273" w:lineRule="auto" w:before="37"/>
        <w:ind w:left="153" w:right="46"/>
        <w:jc w:val="left"/>
      </w:pPr>
      <w:r>
        <w:rPr>
          <w:spacing w:val="-6"/>
        </w:rPr>
        <w:t>20.61%、36.01%。2018 </w:t>
      </w:r>
      <w:r>
        <w:rPr>
          <w:spacing w:val="-4"/>
        </w:rPr>
        <w:t>年创世漫道将继续发展业务客户，拓宽信息技术服务领域，以短信发送为主，</w:t>
      </w:r>
      <w:r>
        <w:rPr>
          <w:spacing w:val="-91"/>
        </w:rPr>
        <w:t> </w:t>
      </w:r>
      <w:r>
        <w:rPr>
          <w:spacing w:val="-91"/>
        </w:rPr>
      </w:r>
      <w:r>
        <w:rPr>
          <w:spacing w:val="-3"/>
        </w:rPr>
        <w:t>促进软件开发及应用业务，争取</w:t>
      </w:r>
      <w:r>
        <w:rPr>
          <w:spacing w:val="-52"/>
        </w:rPr>
        <w:t> </w:t>
      </w:r>
      <w:r>
        <w:rPr/>
        <w:t>2018</w:t>
      </w:r>
      <w:r>
        <w:rPr>
          <w:spacing w:val="-52"/>
        </w:rPr>
        <w:t> </w:t>
      </w:r>
      <w:r>
        <w:rPr/>
        <w:t>年营业收入</w:t>
      </w:r>
      <w:r>
        <w:rPr>
          <w:spacing w:val="-50"/>
        </w:rPr>
        <w:t> </w:t>
      </w:r>
      <w:r>
        <w:rPr/>
        <w:t>90,000</w:t>
      </w:r>
      <w:r>
        <w:rPr>
          <w:spacing w:val="-52"/>
        </w:rPr>
        <w:t> </w:t>
      </w:r>
      <w:r>
        <w:rPr/>
        <w:t>万元(较</w:t>
      </w:r>
      <w:r>
        <w:rPr>
          <w:spacing w:val="-50"/>
        </w:rPr>
        <w:t> </w:t>
      </w:r>
      <w:r>
        <w:rPr/>
        <w:t>2017</w:t>
      </w:r>
      <w:r>
        <w:rPr>
          <w:spacing w:val="-52"/>
        </w:rPr>
        <w:t> </w:t>
      </w:r>
      <w:r>
        <w:rPr/>
        <w:t>年营收</w:t>
      </w:r>
      <w:r>
        <w:rPr>
          <w:spacing w:val="-52"/>
        </w:rPr>
        <w:t> </w:t>
      </w:r>
      <w:r>
        <w:rPr/>
        <w:t>70,312.27</w:t>
      </w:r>
      <w:r>
        <w:rPr>
          <w:spacing w:val="-52"/>
        </w:rPr>
        <w:t> </w:t>
      </w:r>
      <w:r>
        <w:rPr/>
        <w:t>万元增幅</w:t>
      </w:r>
      <w:r>
        <w:rPr>
          <w:spacing w:val="-97"/>
        </w:rPr>
        <w:t> </w:t>
      </w:r>
      <w:r>
        <w:rPr>
          <w:spacing w:val="-97"/>
        </w:rPr>
      </w:r>
      <w:r>
        <w:rPr/>
        <w:t>约</w:t>
      </w:r>
      <w:r>
        <w:rPr>
          <w:spacing w:val="-56"/>
        </w:rPr>
        <w:t> </w:t>
      </w:r>
      <w:r>
        <w:rPr/>
        <w:t>28.00%)，净利润</w:t>
      </w:r>
      <w:r>
        <w:rPr>
          <w:spacing w:val="-56"/>
        </w:rPr>
        <w:t> </w:t>
      </w:r>
      <w:r>
        <w:rPr/>
        <w:t>17,700</w:t>
      </w:r>
      <w:r>
        <w:rPr>
          <w:spacing w:val="-56"/>
        </w:rPr>
        <w:t> </w:t>
      </w:r>
      <w:r>
        <w:rPr/>
        <w:t>万元(较</w:t>
      </w:r>
      <w:r>
        <w:rPr>
          <w:spacing w:val="-56"/>
        </w:rPr>
        <w:t> </w:t>
      </w:r>
      <w:r>
        <w:rPr/>
        <w:t>2017</w:t>
      </w:r>
      <w:r>
        <w:rPr>
          <w:spacing w:val="-58"/>
        </w:rPr>
        <w:t> </w:t>
      </w:r>
      <w:r>
        <w:rPr/>
        <w:t>年净利润</w:t>
      </w:r>
      <w:r>
        <w:rPr>
          <w:spacing w:val="-58"/>
        </w:rPr>
        <w:t> </w:t>
      </w:r>
      <w:r>
        <w:rPr/>
        <w:t>12,683.37</w:t>
      </w:r>
      <w:r>
        <w:rPr>
          <w:spacing w:val="-58"/>
        </w:rPr>
        <w:t> </w:t>
      </w:r>
      <w:r>
        <w:rPr/>
        <w:t>万元增幅约</w:t>
      </w:r>
      <w:r>
        <w:rPr>
          <w:spacing w:val="-56"/>
        </w:rPr>
        <w:t> </w:t>
      </w:r>
      <w:r>
        <w:rPr/>
        <w:t>39.55%)，费用增幅、成</w:t>
      </w:r>
      <w:r>
        <w:rPr>
          <w:w w:val="100"/>
        </w:rPr>
        <w:t> </w:t>
      </w:r>
      <w:r>
        <w:rPr/>
        <w:t>本增幅控制在合理范围。业绩增幅的主要因素是短信业务规模的持续稳定上升。</w:t>
      </w:r>
    </w:p>
    <w:p>
      <w:pPr>
        <w:pStyle w:val="BodyText"/>
        <w:spacing w:line="240" w:lineRule="auto" w:before="70"/>
        <w:ind w:right="46"/>
        <w:jc w:val="left"/>
      </w:pPr>
      <w:r>
        <w:rPr>
          <w:spacing w:val="-5"/>
        </w:rPr>
        <w:t>3、2016—2017</w:t>
      </w:r>
      <w:r>
        <w:rPr>
          <w:spacing w:val="-36"/>
        </w:rPr>
        <w:t> </w:t>
      </w:r>
      <w:r>
        <w:rPr/>
        <w:t>年长实通信营收增幅分别为</w:t>
      </w:r>
      <w:r>
        <w:rPr>
          <w:spacing w:val="-33"/>
        </w:rPr>
        <w:t> </w:t>
      </w:r>
      <w:r>
        <w:rPr>
          <w:spacing w:val="-6"/>
        </w:rPr>
        <w:t>5.15%、16.67%，净利润增幅分别为</w:t>
      </w:r>
      <w:r>
        <w:rPr>
          <w:spacing w:val="-33"/>
        </w:rPr>
        <w:t> </w:t>
      </w:r>
      <w:r>
        <w:rPr>
          <w:spacing w:val="-5"/>
        </w:rPr>
        <w:t>19.06%、9.61%。</w:t>
      </w:r>
    </w:p>
    <w:p>
      <w:pPr>
        <w:spacing w:after="0" w:line="240" w:lineRule="auto"/>
        <w:jc w:val="left"/>
        <w:sectPr>
          <w:footerReference w:type="default" r:id="rId27"/>
          <w:pgSz w:w="11910" w:h="16840"/>
          <w:pgMar w:footer="1000" w:header="884" w:top="1140" w:bottom="1200" w:left="1320" w:right="1200"/>
          <w:pgNumType w:start="27"/>
        </w:sectPr>
      </w:pPr>
    </w:p>
    <w:p>
      <w:pPr>
        <w:pStyle w:val="BodyText"/>
        <w:spacing w:line="273" w:lineRule="auto" w:before="131"/>
        <w:ind w:left="153" w:right="210"/>
        <w:jc w:val="both"/>
      </w:pPr>
      <w:r>
        <w:rPr/>
        <w:t>长实通信以客户需求为重，开展通信网络维护服务及相关工程业务、IDC</w:t>
      </w:r>
      <w:r>
        <w:rPr>
          <w:spacing w:val="-23"/>
        </w:rPr>
        <w:t> </w:t>
      </w:r>
      <w:r>
        <w:rPr/>
        <w:t>机房建设、维护业务，争</w:t>
      </w:r>
      <w:r>
        <w:rPr>
          <w:w w:val="100"/>
        </w:rPr>
        <w:t> </w:t>
      </w:r>
      <w:r>
        <w:rPr/>
        <w:t>取</w:t>
      </w:r>
      <w:r>
        <w:rPr>
          <w:spacing w:val="-52"/>
        </w:rPr>
        <w:t> </w:t>
      </w:r>
      <w:r>
        <w:rPr/>
        <w:t>2018</w:t>
      </w:r>
      <w:r>
        <w:rPr>
          <w:spacing w:val="-52"/>
        </w:rPr>
        <w:t> </w:t>
      </w:r>
      <w:r>
        <w:rPr/>
        <w:t>年营业收入</w:t>
      </w:r>
      <w:r>
        <w:rPr>
          <w:spacing w:val="-54"/>
        </w:rPr>
        <w:t> </w:t>
      </w:r>
      <w:r>
        <w:rPr/>
        <w:t>165,000</w:t>
      </w:r>
      <w:r>
        <w:rPr>
          <w:spacing w:val="-52"/>
        </w:rPr>
        <w:t> </w:t>
      </w:r>
      <w:r>
        <w:rPr/>
        <w:t>万元(较</w:t>
      </w:r>
      <w:r>
        <w:rPr>
          <w:spacing w:val="-54"/>
        </w:rPr>
        <w:t> </w:t>
      </w:r>
      <w:r>
        <w:rPr/>
        <w:t>2017</w:t>
      </w:r>
      <w:r>
        <w:rPr>
          <w:spacing w:val="-52"/>
        </w:rPr>
        <w:t> </w:t>
      </w:r>
      <w:r>
        <w:rPr/>
        <w:t>年营收</w:t>
      </w:r>
      <w:r>
        <w:rPr>
          <w:spacing w:val="-52"/>
        </w:rPr>
        <w:t> </w:t>
      </w:r>
      <w:r>
        <w:rPr/>
        <w:t>140,426.24</w:t>
      </w:r>
      <w:r>
        <w:rPr>
          <w:spacing w:val="-54"/>
        </w:rPr>
        <w:t> </w:t>
      </w:r>
      <w:r>
        <w:rPr/>
        <w:t>万元增幅约</w:t>
      </w:r>
      <w:r>
        <w:rPr>
          <w:spacing w:val="-52"/>
        </w:rPr>
        <w:t> </w:t>
      </w:r>
      <w:r>
        <w:rPr>
          <w:spacing w:val="-3"/>
        </w:rPr>
        <w:t>17.50%)，净利润</w:t>
      </w:r>
      <w:r>
        <w:rPr>
          <w:spacing w:val="-52"/>
        </w:rPr>
        <w:t> </w:t>
      </w:r>
      <w:r>
        <w:rPr/>
        <w:t>15,100</w:t>
      </w:r>
      <w:r>
        <w:rPr>
          <w:w w:val="100"/>
        </w:rPr>
        <w:t> </w:t>
      </w:r>
      <w:r>
        <w:rPr/>
        <w:t>万元(较</w:t>
      </w:r>
      <w:r>
        <w:rPr>
          <w:spacing w:val="-55"/>
        </w:rPr>
        <w:t> </w:t>
      </w:r>
      <w:r>
        <w:rPr/>
        <w:t>2017</w:t>
      </w:r>
      <w:r>
        <w:rPr>
          <w:spacing w:val="-55"/>
        </w:rPr>
        <w:t> </w:t>
      </w:r>
      <w:r>
        <w:rPr/>
        <w:t>年净利润</w:t>
      </w:r>
      <w:r>
        <w:rPr>
          <w:spacing w:val="-55"/>
        </w:rPr>
        <w:t> </w:t>
      </w:r>
      <w:r>
        <w:rPr/>
        <w:t>12,584.97</w:t>
      </w:r>
      <w:r>
        <w:rPr>
          <w:spacing w:val="-55"/>
        </w:rPr>
        <w:t> </w:t>
      </w:r>
      <w:r>
        <w:rPr/>
        <w:t>万元增幅约</w:t>
      </w:r>
      <w:r>
        <w:rPr>
          <w:spacing w:val="-57"/>
        </w:rPr>
        <w:t> </w:t>
      </w:r>
      <w:r>
        <w:rPr/>
        <w:t>19.98%)，费用、成本增幅不高于营收增幅。</w:t>
      </w:r>
    </w:p>
    <w:p>
      <w:pPr>
        <w:pStyle w:val="BodyText"/>
        <w:spacing w:line="326" w:lineRule="auto" w:before="164"/>
        <w:ind w:right="46"/>
        <w:jc w:val="left"/>
      </w:pPr>
      <w:r>
        <w:rPr/>
        <w:t>(三)</w:t>
      </w:r>
      <w:r>
        <w:rPr>
          <w:spacing w:val="-2"/>
        </w:rPr>
        <w:t> </w:t>
      </w:r>
      <w:r>
        <w:rPr/>
        <w:t>公司</w:t>
      </w:r>
      <w:r>
        <w:rPr>
          <w:spacing w:val="-55"/>
        </w:rPr>
        <w:t> </w:t>
      </w:r>
      <w:r>
        <w:rPr/>
        <w:t>2018</w:t>
      </w:r>
      <w:r>
        <w:rPr>
          <w:spacing w:val="-55"/>
        </w:rPr>
        <w:t> </w:t>
      </w:r>
      <w:r>
        <w:rPr/>
        <w:t>年度经营目标</w:t>
      </w:r>
      <w:r>
        <w:rPr>
          <w:spacing w:val="-97"/>
        </w:rPr>
        <w:t> </w:t>
      </w:r>
      <w:r>
        <w:rPr>
          <w:spacing w:val="-97"/>
        </w:rPr>
      </w:r>
      <w:r>
        <w:rPr/>
        <w:t>1、努力提升营业收入，扩大市场份额和影响力，保持公司营业总收入的稳步上升，保持良好</w:t>
      </w:r>
    </w:p>
    <w:p>
      <w:pPr>
        <w:pStyle w:val="BodyText"/>
        <w:spacing w:line="237" w:lineRule="exact" w:before="0"/>
        <w:ind w:left="153" w:right="46"/>
        <w:jc w:val="left"/>
      </w:pPr>
      <w:r>
        <w:rPr/>
        <w:t>的财务状况。</w:t>
      </w:r>
    </w:p>
    <w:p>
      <w:pPr>
        <w:pStyle w:val="BodyText"/>
        <w:spacing w:line="240" w:lineRule="auto" w:before="99"/>
        <w:ind w:right="46"/>
        <w:jc w:val="left"/>
      </w:pPr>
      <w:r>
        <w:rPr/>
        <w:t>2、实现主营业务信息智能传输、通信网络维护的营收和盈利的双增长。</w:t>
      </w:r>
    </w:p>
    <w:p>
      <w:pPr>
        <w:pStyle w:val="BodyText"/>
        <w:spacing w:line="273" w:lineRule="auto" w:before="99"/>
        <w:ind w:left="153" w:right="212" w:firstLine="420"/>
        <w:jc w:val="both"/>
      </w:pPr>
      <w:r>
        <w:rPr>
          <w:spacing w:val="-3"/>
        </w:rPr>
        <w:t>3、为了继续提升技术水平，提高服务质量，满足客户需求， </w:t>
      </w:r>
      <w:r>
        <w:rPr/>
        <w:t>2018</w:t>
      </w:r>
      <w:r>
        <w:rPr>
          <w:spacing w:val="-18"/>
        </w:rPr>
        <w:t> </w:t>
      </w:r>
      <w:r>
        <w:rPr>
          <w:spacing w:val="-3"/>
        </w:rPr>
        <w:t>年创世漫道、长实通信的研</w:t>
      </w:r>
      <w:r>
        <w:rPr>
          <w:w w:val="100"/>
        </w:rPr>
        <w:t> </w:t>
      </w:r>
      <w:r>
        <w:rPr/>
        <w:t>发计划主要内容如下：</w:t>
      </w:r>
    </w:p>
    <w:p>
      <w:pPr>
        <w:pStyle w:val="BodyText"/>
        <w:spacing w:line="273" w:lineRule="auto" w:before="70"/>
        <w:ind w:left="153" w:right="213" w:firstLine="420"/>
        <w:jc w:val="both"/>
      </w:pPr>
      <w:r>
        <w:rPr/>
        <w:t>(1)</w:t>
      </w:r>
      <w:r>
        <w:rPr>
          <w:spacing w:val="-22"/>
        </w:rPr>
        <w:t> </w:t>
      </w:r>
      <w:r>
        <w:rPr/>
        <w:t>为增强信息传输的技术能力，将继续核心程序的研发、重要程序的升级、工具与自动化平</w:t>
      </w:r>
      <w:r>
        <w:rPr>
          <w:w w:val="100"/>
        </w:rPr>
        <w:t> </w:t>
      </w:r>
      <w:r>
        <w:rPr/>
        <w:t>台的研发、网关开发等，进一步提高系统的效率、安全性和服务能力。</w:t>
      </w:r>
    </w:p>
    <w:p>
      <w:pPr>
        <w:pStyle w:val="BodyText"/>
        <w:spacing w:line="271" w:lineRule="auto" w:before="70"/>
        <w:ind w:left="153" w:right="212" w:firstLine="420"/>
        <w:jc w:val="both"/>
      </w:pPr>
      <w:r>
        <w:rPr/>
        <w:t>(2)</w:t>
      </w:r>
      <w:r>
        <w:rPr>
          <w:spacing w:val="-23"/>
        </w:rPr>
        <w:t> </w:t>
      </w:r>
      <w:r>
        <w:rPr/>
        <w:t>为了增强网络维护的技术能力，将继续开展企业信息化研究、通信网络维护公共服务平台</w:t>
      </w:r>
      <w:r>
        <w:rPr>
          <w:w w:val="100"/>
        </w:rPr>
        <w:t> </w:t>
      </w:r>
      <w:r>
        <w:rPr>
          <w:spacing w:val="-2"/>
        </w:rPr>
        <w:t>研究、无人机应用研究、安全生产智能告警研究、云计算服务技术的研发等，进一步提升网络维护</w:t>
      </w:r>
      <w:r>
        <w:rPr>
          <w:spacing w:val="-45"/>
        </w:rPr>
        <w:t> </w:t>
      </w:r>
      <w:r>
        <w:rPr>
          <w:spacing w:val="-45"/>
        </w:rPr>
      </w:r>
      <w:r>
        <w:rPr/>
        <w:t>工作效率、提高精细化管理水平、降低成本和保障安全生产。</w:t>
      </w:r>
    </w:p>
    <w:p>
      <w:pPr>
        <w:pStyle w:val="BodyText"/>
        <w:spacing w:line="273" w:lineRule="auto" w:before="10"/>
        <w:ind w:left="153" w:right="210" w:firstLine="420"/>
        <w:jc w:val="both"/>
      </w:pPr>
      <w:r>
        <w:rPr/>
        <w:t>上述经营计划、经营目标并不代表公司对 2018</w:t>
      </w:r>
      <w:r>
        <w:rPr>
          <w:spacing w:val="-23"/>
        </w:rPr>
        <w:t> </w:t>
      </w:r>
      <w:r>
        <w:rPr/>
        <w:t>年度的盈利预测，不构成公司对投资者的业绩</w:t>
      </w:r>
      <w:r>
        <w:rPr>
          <w:w w:val="100"/>
        </w:rPr>
        <w:t> </w:t>
      </w:r>
      <w:r>
        <w:rPr>
          <w:spacing w:val="-2"/>
        </w:rPr>
        <w:t>承诺，能否实现取决于市场状况变化、经营团队的努力程度等多种因素，存在很大的不确定性，请</w:t>
      </w:r>
      <w:r>
        <w:rPr>
          <w:spacing w:val="-45"/>
        </w:rPr>
        <w:t> </w:t>
      </w:r>
      <w:r>
        <w:rPr>
          <w:spacing w:val="-45"/>
        </w:rPr>
      </w:r>
      <w:r>
        <w:rPr/>
        <w:t>投资者对此保持足够的风险意识，应当理解经营计划、目标与业绩承诺之间的差异。</w:t>
      </w:r>
    </w:p>
    <w:p>
      <w:pPr>
        <w:pStyle w:val="BodyText"/>
        <w:spacing w:line="326" w:lineRule="auto" w:before="101"/>
        <w:ind w:right="46"/>
        <w:jc w:val="left"/>
      </w:pPr>
      <w:r>
        <w:rPr/>
        <w:t>为达到上述经营目标拟采取下列策略和行动：</w:t>
      </w:r>
      <w:r>
        <w:rPr>
          <w:w w:val="100"/>
        </w:rPr>
        <w:t> </w:t>
      </w:r>
      <w:r>
        <w:rPr/>
        <w:t>1、继续提高技术服务水准，建立完善现代化信息智能传输的运维系统，拓展受制于投诉率的</w:t>
      </w:r>
    </w:p>
    <w:p>
      <w:pPr>
        <w:pStyle w:val="BodyText"/>
        <w:spacing w:line="237" w:lineRule="exact" w:before="0"/>
        <w:ind w:left="153" w:right="46"/>
        <w:jc w:val="left"/>
      </w:pPr>
      <w:r>
        <w:rPr/>
        <w:t>商业短信市场，增加现有电子商务、互联网、金融及物流行业客户业务，引进新客户，提升触发类</w:t>
      </w:r>
    </w:p>
    <w:p>
      <w:pPr>
        <w:pStyle w:val="BodyText"/>
        <w:spacing w:line="326" w:lineRule="auto" w:before="37"/>
        <w:ind w:right="46" w:hanging="421"/>
        <w:jc w:val="left"/>
      </w:pPr>
      <w:r>
        <w:rPr/>
        <w:t>和有真实需求的短信发送量，保障客户数量及业务量上行，增加信息传输的营收。</w:t>
      </w:r>
      <w:r>
        <w:rPr>
          <w:w w:val="100"/>
        </w:rPr>
        <w:t> </w:t>
      </w:r>
      <w:r>
        <w:rPr/>
        <w:t>2、继续推进报告期开始的重大资产重组，扩大信息传输业务的市场规模，增强市场竞争力，</w:t>
      </w:r>
    </w:p>
    <w:p>
      <w:pPr>
        <w:pStyle w:val="BodyText"/>
        <w:spacing w:line="236" w:lineRule="exact" w:before="0"/>
        <w:ind w:left="153" w:right="46"/>
        <w:jc w:val="left"/>
      </w:pPr>
      <w:r>
        <w:rPr/>
        <w:t>同时拓展以大数据和人工智能为核心的金融科技领域业务。</w:t>
      </w:r>
    </w:p>
    <w:p>
      <w:pPr>
        <w:pStyle w:val="BodyText"/>
        <w:spacing w:line="273" w:lineRule="auto" w:before="99"/>
        <w:ind w:left="153" w:right="213" w:firstLine="420"/>
        <w:jc w:val="both"/>
      </w:pPr>
      <w:r>
        <w:rPr/>
        <w:t>3、继续提高云平台的智能，增加主动的、目标的、交互的信息传输，布局各省市接入，应对</w:t>
      </w:r>
      <w:r>
        <w:rPr>
          <w:w w:val="100"/>
        </w:rPr>
        <w:t> </w:t>
      </w:r>
      <w:r>
        <w:rPr/>
        <w:t>短信单价下降趋势，控制成本与对手竞争。</w:t>
      </w:r>
    </w:p>
    <w:p>
      <w:pPr>
        <w:pStyle w:val="BodyText"/>
        <w:spacing w:line="273" w:lineRule="auto" w:before="70"/>
        <w:ind w:left="153" w:right="212" w:firstLine="420"/>
        <w:jc w:val="both"/>
      </w:pPr>
      <w:r>
        <w:rPr/>
        <w:t>4、培训员工一专多能，提升技术水平，提高通信网络维护的质量、效率，保障综合代维的现</w:t>
      </w:r>
      <w:r>
        <w:rPr>
          <w:w w:val="100"/>
        </w:rPr>
        <w:t> </w:t>
      </w:r>
      <w:r>
        <w:rPr>
          <w:spacing w:val="-2"/>
        </w:rPr>
        <w:t>有客户业务量，寻求合作新客户，以让客户满意保证维护业务的中标合同；同时拓展与维护相关的</w:t>
      </w:r>
      <w:r>
        <w:rPr>
          <w:spacing w:val="-50"/>
        </w:rPr>
        <w:t> </w:t>
      </w:r>
      <w:r>
        <w:rPr>
          <w:spacing w:val="-50"/>
        </w:rPr>
      </w:r>
      <w:r>
        <w:rPr/>
        <w:t>工程业务、IDC</w:t>
      </w:r>
      <w:r>
        <w:rPr>
          <w:spacing w:val="-54"/>
        </w:rPr>
        <w:t> </w:t>
      </w:r>
      <w:r>
        <w:rPr/>
        <w:t>机房建设及维护业务。</w:t>
      </w:r>
    </w:p>
    <w:p>
      <w:pPr>
        <w:pStyle w:val="BodyText"/>
        <w:spacing w:line="240" w:lineRule="auto" w:before="70"/>
        <w:ind w:right="46"/>
        <w:jc w:val="left"/>
      </w:pPr>
      <w:r>
        <w:rPr/>
        <w:t>5、运用网络维护的技术优势、客户资源，做好</w:t>
      </w:r>
      <w:r>
        <w:rPr>
          <w:spacing w:val="-55"/>
        </w:rPr>
        <w:t> </w:t>
      </w:r>
      <w:r>
        <w:rPr/>
        <w:t>IDC</w:t>
      </w:r>
      <w:r>
        <w:rPr>
          <w:spacing w:val="-56"/>
        </w:rPr>
        <w:t> </w:t>
      </w:r>
      <w:r>
        <w:rPr/>
        <w:t>机房技术服务。</w:t>
      </w:r>
    </w:p>
    <w:p>
      <w:pPr>
        <w:pStyle w:val="BodyText"/>
        <w:spacing w:line="240" w:lineRule="auto" w:before="97"/>
        <w:ind w:right="46"/>
        <w:jc w:val="left"/>
      </w:pPr>
      <w:r>
        <w:rPr/>
        <w:t>6、通过技术进步，稳定人才团队，增强竞争力，以控制好成本、费用。</w:t>
      </w:r>
    </w:p>
    <w:p>
      <w:pPr>
        <w:spacing w:line="240" w:lineRule="auto" w:before="10"/>
        <w:rPr>
          <w:rFonts w:ascii="宋体" w:hAnsi="宋体" w:cs="宋体" w:eastAsia="宋体" w:hint="default"/>
          <w:sz w:val="14"/>
          <w:szCs w:val="14"/>
        </w:rPr>
      </w:pPr>
    </w:p>
    <w:p>
      <w:pPr>
        <w:pStyle w:val="BodyText"/>
        <w:spacing w:line="273" w:lineRule="auto" w:before="0"/>
        <w:ind w:right="46"/>
        <w:jc w:val="left"/>
      </w:pPr>
      <w:r>
        <w:rPr/>
        <w:t>(四)资金需求</w:t>
      </w:r>
      <w:r>
        <w:rPr>
          <w:w w:val="100"/>
        </w:rPr>
        <w:t> </w:t>
      </w:r>
      <w:r>
        <w:rPr>
          <w:spacing w:val="-2"/>
        </w:rPr>
        <w:t>公司资金来源：一是自有资金，即：公司信息传输服务业务、通信网络维护业务等提供服务收</w:t>
      </w:r>
    </w:p>
    <w:p>
      <w:pPr>
        <w:pStyle w:val="BodyText"/>
        <w:spacing w:line="273" w:lineRule="auto" w:before="8"/>
        <w:ind w:left="153" w:right="46"/>
        <w:jc w:val="left"/>
      </w:pPr>
      <w:r>
        <w:rPr>
          <w:spacing w:val="-5"/>
        </w:rPr>
        <w:t>到的现金；二是经营负债，系创世漫道的预收款；三是银行借贷，系长实通信经营所需的周转资金、</w:t>
      </w:r>
      <w:r>
        <w:rPr>
          <w:spacing w:val="-15"/>
        </w:rPr>
        <w:t> </w:t>
      </w:r>
      <w:r>
        <w:rPr>
          <w:spacing w:val="-15"/>
        </w:rPr>
      </w:r>
      <w:r>
        <w:rPr/>
        <w:t>开展业务所需银行开具的保函。公司资金来源将以自有资金为主，债务融资为补充。公司正在进行</w:t>
      </w:r>
      <w:r>
        <w:rPr>
          <w:w w:val="100"/>
        </w:rPr>
        <w:t> </w:t>
      </w:r>
      <w:r>
        <w:rPr/>
        <w:t>2017</w:t>
      </w:r>
      <w:r>
        <w:rPr>
          <w:spacing w:val="13"/>
        </w:rPr>
        <w:t> </w:t>
      </w:r>
      <w:r>
        <w:rPr>
          <w:spacing w:val="-2"/>
        </w:rPr>
        <w:t>年重大资产重组，涉及股权融资，尚未有表外融资、衍生品融资等其他融资计划。</w:t>
      </w:r>
    </w:p>
    <w:p>
      <w:pPr>
        <w:pStyle w:val="BodyText"/>
        <w:spacing w:line="273" w:lineRule="auto" w:before="8"/>
        <w:ind w:right="46"/>
        <w:jc w:val="left"/>
      </w:pPr>
      <w:r>
        <w:rPr/>
        <w:t>公司资金成本主要由股东分红及银行借款利息构成。</w:t>
      </w:r>
      <w:r>
        <w:rPr>
          <w:w w:val="100"/>
        </w:rPr>
        <w:t> </w:t>
      </w:r>
      <w:r>
        <w:rPr>
          <w:spacing w:val="-2"/>
        </w:rPr>
        <w:t>公司资金使用情况：主要用于公司主营业务发展、股东分红、正常经营运转、对外投资、研发</w:t>
      </w:r>
    </w:p>
    <w:p>
      <w:pPr>
        <w:pStyle w:val="BodyText"/>
        <w:spacing w:line="240" w:lineRule="auto"/>
        <w:ind w:right="46" w:hanging="421"/>
        <w:jc w:val="left"/>
      </w:pPr>
      <w:r>
        <w:rPr/>
        <w:t>投入、偿还银行借款等。</w:t>
      </w:r>
    </w:p>
    <w:p>
      <w:pPr>
        <w:spacing w:line="240" w:lineRule="auto" w:before="9"/>
        <w:rPr>
          <w:rFonts w:ascii="宋体" w:hAnsi="宋体" w:cs="宋体" w:eastAsia="宋体" w:hint="default"/>
          <w:sz w:val="26"/>
          <w:szCs w:val="26"/>
        </w:rPr>
      </w:pPr>
    </w:p>
    <w:p>
      <w:pPr>
        <w:pStyle w:val="BodyText"/>
        <w:spacing w:line="273" w:lineRule="auto" w:before="0"/>
        <w:ind w:right="46"/>
        <w:jc w:val="left"/>
      </w:pPr>
      <w:r>
        <w:rPr/>
        <w:t>四、可能面对的风险</w:t>
      </w:r>
      <w:r>
        <w:rPr>
          <w:w w:val="100"/>
        </w:rPr>
        <w:t> </w:t>
      </w:r>
      <w:r>
        <w:rPr>
          <w:spacing w:val="-2"/>
        </w:rPr>
        <w:t>可能的商誉减值、信息服务的客户集中度上升及新技术替代、通信网络维护的技术竞争和客户</w:t>
      </w:r>
    </w:p>
    <w:p>
      <w:pPr>
        <w:pStyle w:val="BodyText"/>
        <w:spacing w:line="240" w:lineRule="auto"/>
        <w:ind w:left="153" w:right="46"/>
        <w:jc w:val="left"/>
      </w:pPr>
      <w:r>
        <w:rPr/>
        <w:t>依赖是对公司未来发展战略和经营目标的实现产生不利影响的风险因素。</w:t>
      </w:r>
    </w:p>
    <w:p>
      <w:pPr>
        <w:spacing w:after="0" w:line="240" w:lineRule="auto"/>
        <w:jc w:val="left"/>
        <w:sectPr>
          <w:pgSz w:w="11910" w:h="16840"/>
          <w:pgMar w:header="884" w:footer="1000" w:top="1140" w:bottom="1200" w:left="1320" w:right="1200"/>
        </w:sectPr>
      </w:pPr>
    </w:p>
    <w:p>
      <w:pPr>
        <w:pStyle w:val="BodyText"/>
        <w:spacing w:line="273" w:lineRule="auto" w:before="131"/>
        <w:ind w:left="153" w:right="193" w:firstLine="420"/>
        <w:jc w:val="both"/>
      </w:pPr>
      <w:r>
        <w:rPr/>
        <w:t>(一)</w:t>
      </w:r>
      <w:r>
        <w:rPr>
          <w:spacing w:val="19"/>
        </w:rPr>
        <w:t> </w:t>
      </w:r>
      <w:r>
        <w:rPr/>
        <w:t>公司商誉是因</w:t>
      </w:r>
      <w:r>
        <w:rPr>
          <w:spacing w:val="-45"/>
        </w:rPr>
        <w:t> </w:t>
      </w:r>
      <w:r>
        <w:rPr/>
        <w:t>2014</w:t>
      </w:r>
      <w:r>
        <w:rPr>
          <w:spacing w:val="-45"/>
        </w:rPr>
        <w:t> </w:t>
      </w:r>
      <w:r>
        <w:rPr>
          <w:spacing w:val="-4"/>
        </w:rPr>
        <w:t>年重组收购创世漫道、2015</w:t>
      </w:r>
      <w:r>
        <w:rPr>
          <w:spacing w:val="-43"/>
        </w:rPr>
        <w:t> </w:t>
      </w:r>
      <w:r>
        <w:rPr>
          <w:spacing w:val="-4"/>
        </w:rPr>
        <w:t>年重组收购长实通信形成，截至本期末公</w:t>
      </w:r>
      <w:r>
        <w:rPr>
          <w:w w:val="100"/>
        </w:rPr>
        <w:t> </w:t>
      </w:r>
      <w:r>
        <w:rPr/>
        <w:t>司非流动资产商誉占净资产的比例达到</w:t>
      </w:r>
      <w:r>
        <w:rPr>
          <w:spacing w:val="-33"/>
        </w:rPr>
        <w:t> </w:t>
      </w:r>
      <w:r>
        <w:rPr>
          <w:spacing w:val="-4"/>
        </w:rPr>
        <w:t>65.35%，根据《企业会计准则》规定，该等形成的商誉将不</w:t>
      </w:r>
      <w:r>
        <w:rPr>
          <w:spacing w:val="-89"/>
        </w:rPr>
        <w:t> </w:t>
      </w:r>
      <w:r>
        <w:rPr>
          <w:spacing w:val="-89"/>
        </w:rPr>
      </w:r>
      <w:r>
        <w:rPr>
          <w:spacing w:val="-2"/>
        </w:rPr>
        <w:t>作摊销处理，需要在未来每年各会计年末进行减值测试。报告期后公司聘请具有证券业务资格的中</w:t>
      </w:r>
      <w:r>
        <w:rPr>
          <w:spacing w:val="-46"/>
        </w:rPr>
        <w:t> </w:t>
      </w:r>
      <w:r>
        <w:rPr>
          <w:spacing w:val="-46"/>
        </w:rPr>
      </w:r>
      <w:r>
        <w:rPr/>
        <w:t>铭国际对公司商誉减值事项进行测试，经过预计未来现金流量现值的过程的测试，创世漫道</w:t>
      </w:r>
      <w:r>
        <w:rPr>
          <w:spacing w:val="66"/>
        </w:rPr>
        <w:t> </w:t>
      </w:r>
      <w:r>
        <w:rPr/>
        <w:t>2018</w:t>
      </w:r>
      <w:r>
        <w:rPr>
          <w:spacing w:val="-86"/>
        </w:rPr>
        <w:t> </w:t>
      </w:r>
      <w:r>
        <w:rPr>
          <w:spacing w:val="-86"/>
        </w:rPr>
      </w:r>
      <w:r>
        <w:rPr/>
        <w:t>年收入增长率为</w:t>
      </w:r>
      <w:r>
        <w:rPr>
          <w:spacing w:val="-42"/>
        </w:rPr>
        <w:t> </w:t>
      </w:r>
      <w:r>
        <w:rPr/>
        <w:t>15.61%、2018</w:t>
      </w:r>
      <w:r>
        <w:rPr>
          <w:spacing w:val="-39"/>
        </w:rPr>
        <w:t> </w:t>
      </w:r>
      <w:r>
        <w:rPr/>
        <w:t>年毛利率为</w:t>
      </w:r>
      <w:r>
        <w:rPr>
          <w:spacing w:val="-42"/>
        </w:rPr>
        <w:t> </w:t>
      </w:r>
      <w:r>
        <w:rPr/>
        <w:t>32.67%、折现率为</w:t>
      </w:r>
      <w:r>
        <w:rPr>
          <w:spacing w:val="-39"/>
        </w:rPr>
        <w:t> </w:t>
      </w:r>
      <w:r>
        <w:rPr/>
        <w:t>14.91%，长实通信的</w:t>
      </w:r>
      <w:r>
        <w:rPr>
          <w:spacing w:val="-39"/>
        </w:rPr>
        <w:t> </w:t>
      </w:r>
      <w:r>
        <w:rPr/>
        <w:t>2018</w:t>
      </w:r>
      <w:r>
        <w:rPr>
          <w:spacing w:val="-39"/>
        </w:rPr>
        <w:t> </w:t>
      </w:r>
      <w:r>
        <w:rPr/>
        <w:t>年收入增</w:t>
      </w:r>
      <w:r>
        <w:rPr>
          <w:w w:val="100"/>
        </w:rPr>
        <w:t> </w:t>
      </w:r>
      <w:r>
        <w:rPr/>
        <w:t>长率为</w:t>
      </w:r>
      <w:r>
        <w:rPr>
          <w:spacing w:val="-59"/>
        </w:rPr>
        <w:t> </w:t>
      </w:r>
      <w:r>
        <w:rPr/>
        <w:t>16.54%、2018</w:t>
      </w:r>
      <w:r>
        <w:rPr>
          <w:spacing w:val="-59"/>
        </w:rPr>
        <w:t> </w:t>
      </w:r>
      <w:r>
        <w:rPr/>
        <w:t>年的毛利率为</w:t>
      </w:r>
      <w:r>
        <w:rPr>
          <w:spacing w:val="-59"/>
        </w:rPr>
        <w:t> </w:t>
      </w:r>
      <w:r>
        <w:rPr/>
        <w:t>19.85%、折现率为</w:t>
      </w:r>
      <w:r>
        <w:rPr>
          <w:spacing w:val="-59"/>
        </w:rPr>
        <w:t> </w:t>
      </w:r>
      <w:r>
        <w:rPr/>
        <w:t>15.49%，没有商誉减值损失的确认方法资产</w:t>
      </w:r>
      <w:r>
        <w:rPr>
          <w:w w:val="100"/>
        </w:rPr>
        <w:t> </w:t>
      </w:r>
      <w:r>
        <w:rPr>
          <w:spacing w:val="-2"/>
        </w:rPr>
        <w:t>组的账面价值高于可收回金额情形，均未出现减值迹象。虽然报告期长实通信业绩未达业绩承诺，</w:t>
      </w:r>
      <w:r>
        <w:rPr>
          <w:spacing w:val="-26"/>
        </w:rPr>
        <w:t> </w:t>
      </w:r>
      <w:r>
        <w:rPr>
          <w:spacing w:val="-26"/>
        </w:rPr>
      </w:r>
      <w:r>
        <w:rPr/>
        <w:t>但业绩较上年同比增幅 </w:t>
      </w:r>
      <w:r>
        <w:rPr>
          <w:spacing w:val="-4"/>
        </w:rPr>
        <w:t>11.59%，报告期末三年累计业绩高于承诺，不影响商誉减值测试结果。如果</w:t>
      </w:r>
      <w:r>
        <w:rPr>
          <w:spacing w:val="-95"/>
        </w:rPr>
        <w:t> </w:t>
      </w:r>
      <w:r>
        <w:rPr>
          <w:spacing w:val="-95"/>
        </w:rPr>
      </w:r>
      <w:r>
        <w:rPr>
          <w:spacing w:val="-2"/>
        </w:rPr>
        <w:t>创世漫道、长实通信未来经营中不能较好地实现盈利，商誉将面临计提资产减值的风险，对公司未</w:t>
      </w:r>
      <w:r>
        <w:rPr>
          <w:spacing w:val="-47"/>
        </w:rPr>
        <w:t> </w:t>
      </w:r>
      <w:r>
        <w:rPr>
          <w:spacing w:val="-47"/>
        </w:rPr>
      </w:r>
      <w:r>
        <w:rPr>
          <w:spacing w:val="-2"/>
          <w:w w:val="100"/>
        </w:rPr>
        <w:t>来经营业绩产生不利影响。公司据中铭国际出具的中铭评报字[2018]第</w:t>
      </w:r>
      <w:r>
        <w:rPr>
          <w:spacing w:val="-40"/>
          <w:w w:val="100"/>
        </w:rPr>
        <w:t> </w:t>
      </w:r>
      <w:r>
        <w:rPr>
          <w:spacing w:val="-1"/>
          <w:w w:val="100"/>
        </w:rPr>
        <w:t>0013</w:t>
      </w:r>
      <w:r>
        <w:rPr>
          <w:spacing w:val="-43"/>
          <w:w w:val="100"/>
        </w:rPr>
        <w:t> </w:t>
      </w:r>
      <w:r>
        <w:rPr>
          <w:spacing w:val="-12"/>
          <w:w w:val="100"/>
        </w:rPr>
        <w:t>号《资产评估报告》，</w:t>
      </w:r>
      <w:r>
        <w:rPr>
          <w:spacing w:val="-101"/>
          <w:w w:val="100"/>
        </w:rPr>
        <w:t> </w:t>
      </w:r>
      <w:r>
        <w:rPr>
          <w:spacing w:val="-101"/>
          <w:w w:val="100"/>
        </w:rPr>
      </w:r>
      <w:r>
        <w:rPr>
          <w:spacing w:val="-2"/>
          <w:w w:val="100"/>
        </w:rPr>
        <w:t>创世漫道商誉未出现减值迹象。据中铭国际出具的中铭评报字[2018]第</w:t>
      </w:r>
      <w:r>
        <w:rPr>
          <w:spacing w:val="-40"/>
          <w:w w:val="100"/>
        </w:rPr>
        <w:t> </w:t>
      </w:r>
      <w:r>
        <w:rPr>
          <w:spacing w:val="-1"/>
          <w:w w:val="100"/>
        </w:rPr>
        <w:t>0012</w:t>
      </w:r>
      <w:r>
        <w:rPr>
          <w:spacing w:val="-43"/>
          <w:w w:val="100"/>
        </w:rPr>
        <w:t> </w:t>
      </w:r>
      <w:r>
        <w:rPr>
          <w:spacing w:val="-12"/>
          <w:w w:val="100"/>
        </w:rPr>
        <w:t>号《资产评估报告》，</w:t>
      </w:r>
      <w:r>
        <w:rPr>
          <w:spacing w:val="-101"/>
          <w:w w:val="100"/>
        </w:rPr>
        <w:t> </w:t>
      </w:r>
      <w:r>
        <w:rPr>
          <w:spacing w:val="-101"/>
          <w:w w:val="100"/>
        </w:rPr>
      </w:r>
      <w:r>
        <w:rPr/>
        <w:t>长实通信商誉未出现减值迹象。有关资产评估报告于本公告同日刊载于巨潮资讯网。</w:t>
      </w:r>
    </w:p>
    <w:p>
      <w:pPr>
        <w:pStyle w:val="BodyText"/>
        <w:spacing w:line="273" w:lineRule="auto" w:before="8"/>
        <w:ind w:left="153" w:right="46" w:firstLine="420"/>
        <w:jc w:val="left"/>
      </w:pPr>
      <w:r>
        <w:rPr>
          <w:spacing w:val="-5"/>
        </w:rPr>
        <w:t>应对措施：遵循公司发展战略，按照业务规划，落实经营计划，实现经营目标，保障创世漫道、</w:t>
      </w:r>
      <w:r>
        <w:rPr>
          <w:w w:val="100"/>
        </w:rPr>
        <w:t> </w:t>
      </w:r>
      <w:r>
        <w:rPr/>
        <w:t>长实通信的盈利持续稳定。</w:t>
      </w:r>
    </w:p>
    <w:p>
      <w:pPr>
        <w:pStyle w:val="BodyText"/>
        <w:spacing w:line="273" w:lineRule="auto" w:before="164"/>
        <w:ind w:right="46"/>
        <w:jc w:val="left"/>
      </w:pPr>
      <w:r>
        <w:rPr/>
        <w:t>(二)</w:t>
      </w:r>
      <w:r>
        <w:rPr>
          <w:spacing w:val="-2"/>
        </w:rPr>
        <w:t> </w:t>
      </w:r>
      <w:r>
        <w:rPr/>
        <w:t>信息服务业的风险因素。</w:t>
      </w:r>
      <w:r>
        <w:rPr>
          <w:w w:val="100"/>
        </w:rPr>
        <w:t> </w:t>
      </w:r>
      <w:r>
        <w:rPr/>
        <w:t>1、客户集中度上升风险。基于创世漫道在企业移动信息服务行业的领先地位、良好服务，创</w:t>
      </w:r>
    </w:p>
    <w:p>
      <w:pPr>
        <w:pStyle w:val="BodyText"/>
        <w:spacing w:line="273" w:lineRule="auto"/>
        <w:ind w:left="153" w:right="210"/>
        <w:jc w:val="both"/>
      </w:pPr>
      <w:r>
        <w:rPr>
          <w:spacing w:val="-2"/>
        </w:rPr>
        <w:t>世漫道与主要客户之间的合作关系保持稳定，由于部分优质客户自身业务快速发展使得客户集中度</w:t>
      </w:r>
      <w:r>
        <w:rPr>
          <w:spacing w:val="-42"/>
        </w:rPr>
        <w:t> </w:t>
      </w:r>
      <w:r>
        <w:rPr>
          <w:spacing w:val="-42"/>
        </w:rPr>
      </w:r>
      <w:r>
        <w:rPr/>
        <w:t>呈现上升趋势，2012</w:t>
      </w:r>
      <w:r>
        <w:rPr>
          <w:spacing w:val="-41"/>
        </w:rPr>
        <w:t> </w:t>
      </w:r>
      <w:r>
        <w:rPr/>
        <w:t>年、2013</w:t>
      </w:r>
      <w:r>
        <w:rPr>
          <w:spacing w:val="-38"/>
        </w:rPr>
        <w:t> </w:t>
      </w:r>
      <w:r>
        <w:rPr/>
        <w:t>年、2014</w:t>
      </w:r>
      <w:r>
        <w:rPr>
          <w:spacing w:val="-38"/>
        </w:rPr>
        <w:t> </w:t>
      </w:r>
      <w:r>
        <w:rPr/>
        <w:t>年、2015</w:t>
      </w:r>
      <w:r>
        <w:rPr>
          <w:spacing w:val="-41"/>
        </w:rPr>
        <w:t> </w:t>
      </w:r>
      <w:r>
        <w:rPr/>
        <w:t>年、2016</w:t>
      </w:r>
      <w:r>
        <w:rPr>
          <w:spacing w:val="-38"/>
        </w:rPr>
        <w:t> </w:t>
      </w:r>
      <w:r>
        <w:rPr/>
        <w:t>年、2017</w:t>
      </w:r>
      <w:r>
        <w:rPr>
          <w:spacing w:val="-38"/>
        </w:rPr>
        <w:t> </w:t>
      </w:r>
      <w:r>
        <w:rPr/>
        <w:t>年创世漫道营收中前五大短</w:t>
      </w:r>
      <w:r>
        <w:rPr>
          <w:w w:val="100"/>
        </w:rPr>
        <w:t> </w:t>
      </w:r>
      <w:r>
        <w:rPr/>
        <w:t>信客户的收入占短信收入的比例分别为</w:t>
      </w:r>
      <w:r>
        <w:rPr>
          <w:spacing w:val="-24"/>
        </w:rPr>
        <w:t> </w:t>
      </w:r>
      <w:r>
        <w:rPr>
          <w:spacing w:val="-3"/>
        </w:rPr>
        <w:t>23.18%、22.19%、38.3%、28.0%、27.79%、18.14%。由于行</w:t>
      </w:r>
      <w:r>
        <w:rPr>
          <w:spacing w:val="-89"/>
        </w:rPr>
        <w:t> </w:t>
      </w:r>
      <w:r>
        <w:rPr>
          <w:spacing w:val="-89"/>
        </w:rPr>
      </w:r>
      <w:r>
        <w:rPr>
          <w:spacing w:val="-2"/>
        </w:rPr>
        <w:t>业惯例，创世漫道与主要客户签约合作期限较短且主要客户与包括创世漫道在内的多个信息服务提</w:t>
      </w:r>
      <w:r>
        <w:rPr>
          <w:spacing w:val="-42"/>
        </w:rPr>
        <w:t> </w:t>
      </w:r>
      <w:r>
        <w:rPr>
          <w:spacing w:val="-42"/>
        </w:rPr>
      </w:r>
      <w:r>
        <w:rPr>
          <w:spacing w:val="-2"/>
        </w:rPr>
        <w:t>供商合作，尽管创世漫道与主要客户持续保持合作关系，如果未来因宏观经济变动、市场竞争恶化</w:t>
      </w:r>
      <w:r>
        <w:rPr>
          <w:spacing w:val="-46"/>
        </w:rPr>
        <w:t> </w:t>
      </w:r>
      <w:r>
        <w:rPr>
          <w:spacing w:val="-46"/>
        </w:rPr>
      </w:r>
      <w:r>
        <w:rPr>
          <w:spacing w:val="-2"/>
        </w:rPr>
        <w:t>或未能满足主要客户服务需求等因素导致重要客户流失，将会影响创世漫道未来的经营发展和盈利</w:t>
      </w:r>
      <w:r>
        <w:rPr>
          <w:spacing w:val="-42"/>
        </w:rPr>
        <w:t> </w:t>
      </w:r>
      <w:r>
        <w:rPr>
          <w:spacing w:val="-42"/>
        </w:rPr>
      </w:r>
      <w:r>
        <w:rPr/>
        <w:t>增长。</w:t>
      </w:r>
    </w:p>
    <w:p>
      <w:pPr>
        <w:pStyle w:val="BodyText"/>
        <w:spacing w:line="273" w:lineRule="auto"/>
        <w:ind w:left="153" w:right="210" w:firstLine="420"/>
        <w:jc w:val="both"/>
      </w:pPr>
      <w:r>
        <w:rPr/>
        <w:t>2、新技术替代风险。随着信息技术和通信技术的迅速发展，企业移动信息服务行业呈现出技</w:t>
      </w:r>
      <w:r>
        <w:rPr>
          <w:w w:val="100"/>
        </w:rPr>
        <w:t> </w:t>
      </w:r>
      <w:r>
        <w:rPr>
          <w:spacing w:val="-2"/>
        </w:rPr>
        <w:t>术更新快、产品换代周期短的特征，4G、大数据、人工智能、移动互联网等技术的商业应用对移动</w:t>
      </w:r>
      <w:r>
        <w:rPr>
          <w:spacing w:val="-45"/>
        </w:rPr>
        <w:t> </w:t>
      </w:r>
      <w:r>
        <w:rPr>
          <w:spacing w:val="-45"/>
        </w:rPr>
      </w:r>
      <w:r>
        <w:rPr>
          <w:spacing w:val="-2"/>
        </w:rPr>
        <w:t>信息服务行业的技术创新和产品服务升级提出更高要求，未来创世漫道若不能根据相关技术的发展</w:t>
      </w:r>
      <w:r>
        <w:rPr>
          <w:spacing w:val="-42"/>
        </w:rPr>
        <w:t> </w:t>
      </w:r>
      <w:r>
        <w:rPr>
          <w:spacing w:val="-42"/>
        </w:rPr>
      </w:r>
      <w:r>
        <w:rPr/>
        <w:t>对其业务及服务进行持续的更新和升级，将对公司移动信息传输的市场竞争能力带来不利影响。</w:t>
      </w:r>
    </w:p>
    <w:p>
      <w:pPr>
        <w:pStyle w:val="BodyText"/>
        <w:spacing w:line="273" w:lineRule="auto"/>
        <w:ind w:left="153" w:right="46" w:firstLine="420"/>
        <w:jc w:val="left"/>
      </w:pPr>
      <w:r>
        <w:rPr/>
        <w:t>应对措施：提升信息服务质量、加强与运营商的合作，更好更快的为客户服务，并申请各类资</w:t>
      </w:r>
      <w:r>
        <w:rPr>
          <w:w w:val="100"/>
        </w:rPr>
        <w:t> </w:t>
      </w:r>
      <w:r>
        <w:rPr>
          <w:spacing w:val="-5"/>
        </w:rPr>
        <w:t>质，增强公司竞争能力，同时拓展业务领域，扩大客户群，降低客户集中度，防范大客户依赖风险。</w:t>
      </w:r>
      <w:r>
        <w:rPr>
          <w:spacing w:val="-20"/>
        </w:rPr>
        <w:t> </w:t>
      </w:r>
      <w:r>
        <w:rPr>
          <w:spacing w:val="-20"/>
        </w:rPr>
      </w:r>
      <w:r>
        <w:rPr/>
        <w:t>创世漫道开展移动信息服务业务以来， 一直高度关注技术发展的最新趋势，并依据移动信息服务</w:t>
      </w:r>
      <w:r>
        <w:rPr>
          <w:spacing w:val="-22"/>
        </w:rPr>
        <w:t> </w:t>
      </w:r>
      <w:r>
        <w:rPr>
          <w:spacing w:val="-22"/>
        </w:rPr>
      </w:r>
      <w:r>
        <w:rPr/>
        <w:t>市场变化，适时将新的技术成果运用于业务实践中，优化业务技术以满足不同客户的个性化需求，</w:t>
      </w:r>
      <w:r>
        <w:rPr>
          <w:w w:val="100"/>
        </w:rPr>
        <w:t> </w:t>
      </w:r>
      <w:r>
        <w:rPr>
          <w:spacing w:val="-5"/>
        </w:rPr>
        <w:t>化解新技术替代风险。采取上述应对措施后，创世漫道在客户群不断扩大、新技术应用迅速发展中，</w:t>
      </w:r>
      <w:r>
        <w:rPr>
          <w:spacing w:val="-12"/>
        </w:rPr>
        <w:t> </w:t>
      </w:r>
      <w:r>
        <w:rPr>
          <w:spacing w:val="-12"/>
        </w:rPr>
      </w:r>
      <w:r>
        <w:rPr/>
        <w:t>业务发展快，营收和盈利双增长，将增加未来公司的业绩。</w:t>
      </w:r>
    </w:p>
    <w:p>
      <w:pPr>
        <w:pStyle w:val="BodyText"/>
        <w:spacing w:line="326" w:lineRule="auto" w:before="164"/>
        <w:ind w:right="46"/>
        <w:jc w:val="left"/>
      </w:pPr>
      <w:r>
        <w:rPr/>
        <w:t>(三)</w:t>
      </w:r>
      <w:r>
        <w:rPr>
          <w:spacing w:val="-2"/>
        </w:rPr>
        <w:t> </w:t>
      </w:r>
      <w:r>
        <w:rPr/>
        <w:t>通信网络维护业务的风险因素</w:t>
      </w:r>
      <w:r>
        <w:rPr>
          <w:w w:val="100"/>
        </w:rPr>
        <w:t> </w:t>
      </w:r>
      <w:r>
        <w:rPr/>
        <w:t>1、技术竞争加剧的风险。随着通信网络技术的快速进步，电信运营商等客户在招标、代维质</w:t>
      </w:r>
    </w:p>
    <w:p>
      <w:pPr>
        <w:pStyle w:val="BodyText"/>
        <w:spacing w:line="237" w:lineRule="exact" w:before="0"/>
        <w:ind w:left="153" w:right="0"/>
        <w:jc w:val="both"/>
      </w:pPr>
      <w:r>
        <w:rPr>
          <w:spacing w:val="-5"/>
        </w:rPr>
        <w:t>量考核中不断提出个性化、复杂化的需求，促使通信维护行业的技术竞争加剧。未来只有经验丰富，</w:t>
      </w:r>
    </w:p>
    <w:p>
      <w:pPr>
        <w:pStyle w:val="BodyText"/>
        <w:spacing w:line="273" w:lineRule="auto" w:before="37"/>
        <w:ind w:left="153" w:right="210"/>
        <w:jc w:val="both"/>
      </w:pPr>
      <w:r>
        <w:rPr>
          <w:spacing w:val="-2"/>
        </w:rPr>
        <w:t>技术领先，具备了跨区域综合服务能力的通信技术服务商在竞争中才可能处于领先地位。如果公司</w:t>
      </w:r>
      <w:r>
        <w:rPr>
          <w:spacing w:val="-43"/>
        </w:rPr>
        <w:t> </w:t>
      </w:r>
      <w:r>
        <w:rPr>
          <w:spacing w:val="-43"/>
        </w:rPr>
      </w:r>
      <w:r>
        <w:rPr>
          <w:spacing w:val="-2"/>
        </w:rPr>
        <w:t>通信维护业务后续在技术研发、服务质量、市场优化等方面无法得到持续增强，将会在竞争中处于</w:t>
      </w:r>
      <w:r>
        <w:rPr>
          <w:spacing w:val="-44"/>
        </w:rPr>
        <w:t> </w:t>
      </w:r>
      <w:r>
        <w:rPr>
          <w:spacing w:val="-44"/>
        </w:rPr>
      </w:r>
      <w:r>
        <w:rPr/>
        <w:t>不利的地位。</w:t>
      </w:r>
    </w:p>
    <w:p>
      <w:pPr>
        <w:pStyle w:val="BodyText"/>
        <w:spacing w:line="273" w:lineRule="auto" w:before="70"/>
        <w:ind w:left="153" w:right="46" w:firstLine="420"/>
        <w:jc w:val="left"/>
      </w:pPr>
      <w:r>
        <w:rPr/>
        <w:t>2、客户依赖的风险。国内通信行业的运营业务主要集中在电信运营商手中，公司通信维护业</w:t>
      </w:r>
      <w:r>
        <w:rPr>
          <w:w w:val="100"/>
        </w:rPr>
        <w:t> </w:t>
      </w:r>
      <w:r>
        <w:rPr/>
        <w:t>务对电信运营商的依赖度较高，2014</w:t>
      </w:r>
      <w:r>
        <w:rPr>
          <w:spacing w:val="-58"/>
        </w:rPr>
        <w:t> </w:t>
      </w:r>
      <w:r>
        <w:rPr/>
        <w:t>年、2015</w:t>
      </w:r>
      <w:r>
        <w:rPr>
          <w:spacing w:val="-58"/>
        </w:rPr>
        <w:t> </w:t>
      </w:r>
      <w:r>
        <w:rPr/>
        <w:t>年、2016</w:t>
      </w:r>
      <w:r>
        <w:rPr>
          <w:spacing w:val="-58"/>
        </w:rPr>
        <w:t> </w:t>
      </w:r>
      <w:r>
        <w:rPr/>
        <w:t>年、2017</w:t>
      </w:r>
      <w:r>
        <w:rPr>
          <w:spacing w:val="-56"/>
        </w:rPr>
        <w:t> </w:t>
      </w:r>
      <w:r>
        <w:rPr/>
        <w:t>年长实通信营收中来自中国移动</w:t>
      </w:r>
      <w:r>
        <w:rPr>
          <w:w w:val="100"/>
        </w:rPr>
        <w:t> </w:t>
      </w:r>
      <w:r>
        <w:rPr/>
        <w:t>系统单位的占比分别为</w:t>
      </w:r>
      <w:r>
        <w:rPr>
          <w:spacing w:val="-23"/>
        </w:rPr>
        <w:t> </w:t>
      </w:r>
      <w:r>
        <w:rPr>
          <w:spacing w:val="-5"/>
        </w:rPr>
        <w:t>81.10%、85.21%、62.94%、40.76%，近两年占比下降是因承接铁塔公司业务，</w:t>
      </w:r>
      <w:r>
        <w:rPr>
          <w:spacing w:val="-92"/>
        </w:rPr>
        <w:t> </w:t>
      </w:r>
      <w:r>
        <w:rPr>
          <w:spacing w:val="-92"/>
        </w:rPr>
      </w:r>
      <w:r>
        <w:rPr/>
        <w:t>2016</w:t>
      </w:r>
      <w:r>
        <w:rPr>
          <w:spacing w:val="-44"/>
        </w:rPr>
        <w:t> </w:t>
      </w:r>
      <w:r>
        <w:rPr/>
        <w:t>年、2017</w:t>
      </w:r>
      <w:r>
        <w:rPr>
          <w:spacing w:val="-44"/>
        </w:rPr>
        <w:t> </w:t>
      </w:r>
      <w:r>
        <w:rPr/>
        <w:t>年长实通信营收中来自铁塔公司的占比分别为</w:t>
      </w:r>
      <w:r>
        <w:rPr>
          <w:spacing w:val="-42"/>
        </w:rPr>
        <w:t> </w:t>
      </w:r>
      <w:r>
        <w:rPr/>
        <w:t>22.09%、32.43%。电信运营商通常采</w:t>
      </w:r>
      <w:r>
        <w:rPr>
          <w:w w:val="100"/>
        </w:rPr>
        <w:t> </w:t>
      </w:r>
      <w:r>
        <w:rPr/>
        <w:t>用招标的方式进行通信服务采购，一般 2—3</w:t>
      </w:r>
      <w:r>
        <w:rPr>
          <w:spacing w:val="-23"/>
        </w:rPr>
        <w:t> </w:t>
      </w:r>
      <w:r>
        <w:rPr/>
        <w:t>年进行一次辖区内的统一招标，确定代维服务商。如</w:t>
      </w:r>
    </w:p>
    <w:p>
      <w:pPr>
        <w:spacing w:after="0" w:line="273" w:lineRule="auto"/>
        <w:jc w:val="left"/>
        <w:sectPr>
          <w:pgSz w:w="11910" w:h="16840"/>
          <w:pgMar w:header="884" w:footer="1000" w:top="1140" w:bottom="1200" w:left="1320" w:right="1200"/>
        </w:sectPr>
      </w:pPr>
    </w:p>
    <w:p>
      <w:pPr>
        <w:pStyle w:val="BodyText"/>
        <w:spacing w:line="273" w:lineRule="auto" w:before="131"/>
        <w:ind w:left="393" w:right="342"/>
        <w:jc w:val="left"/>
      </w:pPr>
      <w:r>
        <w:rPr>
          <w:spacing w:val="-5"/>
        </w:rPr>
        <w:t>果长实通信的代维能力、服务质量下降，可能会对与电信运营商之间的稳定合作关系产生不利影响，</w:t>
      </w:r>
      <w:r>
        <w:rPr>
          <w:spacing w:val="-17"/>
        </w:rPr>
        <w:t> </w:t>
      </w:r>
      <w:r>
        <w:rPr>
          <w:spacing w:val="-17"/>
        </w:rPr>
      </w:r>
      <w:r>
        <w:rPr/>
        <w:t>在业务开展中处于不利地位，从而对持续盈利能力产生重大影响。</w:t>
      </w:r>
    </w:p>
    <w:p>
      <w:pPr>
        <w:pStyle w:val="BodyText"/>
        <w:spacing w:line="273" w:lineRule="auto"/>
        <w:ind w:left="393" w:right="342" w:firstLine="420"/>
        <w:jc w:val="left"/>
      </w:pPr>
      <w:r>
        <w:rPr/>
        <w:t>应对措施：继续进行技术研发，提高技术运用能力，培养代维人员的良好技能素养，充分发挥</w:t>
      </w:r>
      <w:r>
        <w:rPr>
          <w:w w:val="100"/>
        </w:rPr>
        <w:t> </w:t>
      </w:r>
      <w:r>
        <w:rPr/>
        <w:t>综合代维的技术、人才、服务、质量优势和跨省区、全方位开展业务的优势，防范技术竞争加剧风</w:t>
      </w:r>
      <w:r>
        <w:rPr>
          <w:w w:val="100"/>
        </w:rPr>
        <w:t> </w:t>
      </w:r>
      <w:r>
        <w:rPr>
          <w:spacing w:val="-5"/>
        </w:rPr>
        <w:t>险。长实通信始终注重与电信运营商保持良好的沟通，及时了解电信运营商的采购政策、资质要求、</w:t>
      </w:r>
      <w:r>
        <w:rPr>
          <w:spacing w:val="-12"/>
        </w:rPr>
        <w:t> </w:t>
      </w:r>
      <w:r>
        <w:rPr>
          <w:spacing w:val="-12"/>
        </w:rPr>
      </w:r>
      <w:r>
        <w:rPr/>
        <w:t>服务规范等，并在长期业务开展过程中，始终致力于加强电信运营商的信赖程度，不断提高服务标</w:t>
      </w:r>
      <w:r>
        <w:rPr>
          <w:w w:val="100"/>
        </w:rPr>
        <w:t> </w:t>
      </w:r>
      <w:r>
        <w:rPr/>
        <w:t>准和水平，从而能够持续地获得与电信运营商的合作机会，化解客户认可的风险。</w:t>
      </w:r>
    </w:p>
    <w:p>
      <w:pPr>
        <w:pStyle w:val="BodyText"/>
        <w:spacing w:line="273" w:lineRule="auto" w:before="164"/>
        <w:ind w:left="813" w:right="1174" w:firstLine="105"/>
        <w:jc w:val="left"/>
      </w:pPr>
      <w:r>
        <w:rPr>
          <w:spacing w:val="-2"/>
        </w:rPr>
        <w:t>(三)公司将按照应对措施防范上述风险因素酿成风险。</w:t>
      </w:r>
      <w:r>
        <w:rPr>
          <w:w w:val="100"/>
        </w:rPr>
        <w:t> </w:t>
      </w:r>
      <w:r>
        <w:rPr/>
        <w:t>五、接待调研、沟通、采访等活动情况</w:t>
      </w:r>
    </w:p>
    <w:tbl>
      <w:tblPr>
        <w:tblW w:w="0" w:type="auto"/>
        <w:jc w:val="left"/>
        <w:tblInd w:w="105" w:type="dxa"/>
        <w:tblLayout w:type="fixed"/>
        <w:tblCellMar>
          <w:top w:w="0" w:type="dxa"/>
          <w:left w:w="0" w:type="dxa"/>
          <w:bottom w:w="0" w:type="dxa"/>
          <w:right w:w="0" w:type="dxa"/>
        </w:tblCellMar>
        <w:tblLook w:val="01E0"/>
      </w:tblPr>
      <w:tblGrid>
        <w:gridCol w:w="1135"/>
        <w:gridCol w:w="1416"/>
        <w:gridCol w:w="1560"/>
        <w:gridCol w:w="5527"/>
      </w:tblGrid>
      <w:tr>
        <w:trPr>
          <w:trHeight w:val="46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237"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552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与参加河北辖区上市公司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年度投资者网上集体接待日活动的投</w:t>
            </w:r>
          </w:p>
        </w:tc>
      </w:tr>
      <w:tr>
        <w:trPr>
          <w:trHeight w:val="234"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2017/05/16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网络远程</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2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资者就公司情况、发展战略、经营状况、可持续发展等事项进行沟通</w:t>
            </w:r>
          </w:p>
        </w:tc>
      </w:tr>
      <w:tr>
        <w:trPr>
          <w:trHeight w:val="240"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5527"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(未提供资料)</w:t>
            </w:r>
          </w:p>
        </w:tc>
      </w:tr>
      <w:tr>
        <w:trPr>
          <w:trHeight w:val="425" w:hRule="exact"/>
        </w:trPr>
        <w:tc>
          <w:tcPr>
            <w:tcW w:w="96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18"/>
                <w:szCs w:val="18"/>
              </w:rPr>
              <w:t>注：深交所互动易本公司专页网址</w:t>
            </w:r>
            <w:r>
              <w:rPr>
                <w:rFonts w:ascii="宋体" w:hAnsi="宋体" w:cs="宋体" w:eastAsia="宋体" w:hint="default"/>
                <w:spacing w:val="-2"/>
                <w:sz w:val="18"/>
                <w:szCs w:val="18"/>
              </w:rPr>
              <w:t> </w:t>
            </w:r>
            <w:r>
              <w:rPr>
                <w:rFonts w:ascii="宋体" w:hAnsi="宋体" w:cs="宋体" w:eastAsia="宋体" w:hint="default"/>
                <w:color w:val="0000FF"/>
                <w:spacing w:val="-2"/>
                <w:sz w:val="21"/>
                <w:szCs w:val="21"/>
              </w:rPr>
            </w:r>
            <w:hyperlink r:id="rId29">
              <w:r>
                <w:rPr>
                  <w:rFonts w:ascii="宋体" w:hAnsi="宋体" w:cs="宋体" w:eastAsia="宋体" w:hint="default"/>
                  <w:color w:val="0000FF"/>
                  <w:sz w:val="21"/>
                  <w:szCs w:val="21"/>
                  <w:u w:val="single" w:color="0000FF"/>
                </w:rPr>
                <w:t>http://irm.cninfo.com.cn/ssessgs/S000889/</w:t>
              </w:r>
              <w:r>
                <w:rPr>
                  <w:rFonts w:ascii="宋体" w:hAnsi="宋体" w:cs="宋体" w:eastAsia="宋体" w:hint="default"/>
                  <w:color w:val="0000FF"/>
                  <w:sz w:val="21"/>
                  <w:szCs w:val="21"/>
                </w:rPr>
              </w:r>
              <w:r>
                <w:rPr>
                  <w:rFonts w:ascii="宋体" w:hAnsi="宋体" w:cs="宋体" w:eastAsia="宋体" w:hint="default"/>
                  <w:sz w:val="21"/>
                  <w:szCs w:val="21"/>
                </w:rPr>
              </w:r>
            </w:hyperlink>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286" w:val="left" w:leader="none"/>
        </w:tabs>
        <w:spacing w:before="172"/>
        <w:ind w:left="0" w:right="66" w:firstLine="0"/>
        <w:jc w:val="center"/>
        <w:rPr>
          <w:rFonts w:ascii="宋体" w:hAnsi="宋体" w:cs="宋体" w:eastAsia="宋体" w:hint="default"/>
          <w:sz w:val="32"/>
          <w:szCs w:val="32"/>
        </w:rPr>
      </w:pPr>
      <w:r>
        <w:rPr>
          <w:rFonts w:ascii="宋体" w:hAnsi="宋体" w:cs="宋体" w:eastAsia="宋体" w:hint="default"/>
          <w:b/>
          <w:bCs/>
          <w:w w:val="95"/>
          <w:sz w:val="32"/>
          <w:szCs w:val="32"/>
        </w:rPr>
        <w:t>第五章</w:t>
        <w:tab/>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9"/>
        <w:rPr>
          <w:rFonts w:ascii="宋体" w:hAnsi="宋体" w:cs="宋体" w:eastAsia="宋体" w:hint="default"/>
          <w:b/>
          <w:bCs/>
          <w:sz w:val="34"/>
          <w:szCs w:val="34"/>
        </w:rPr>
      </w:pPr>
    </w:p>
    <w:p>
      <w:pPr>
        <w:tabs>
          <w:tab w:pos="3321" w:val="left" w:leader="none"/>
        </w:tabs>
        <w:spacing w:line="544" w:lineRule="auto" w:before="0"/>
        <w:ind w:left="813" w:right="1484" w:firstLine="1663"/>
        <w:jc w:val="left"/>
        <w:rPr>
          <w:rFonts w:ascii="宋体" w:hAnsi="宋体" w:cs="宋体" w:eastAsia="宋体" w:hint="default"/>
          <w:sz w:val="21"/>
          <w:szCs w:val="21"/>
        </w:rPr>
      </w:pPr>
      <w:r>
        <w:rPr/>
        <w:pict>
          <v:shape style="position:absolute;margin-left:59.279999pt;margin-top:48.984863pt;width:482.65pt;height:158.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669"/>
                  </w:tblGrid>
                  <w:tr>
                    <w:trPr>
                      <w:trHeight w:val="322"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53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22"/>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4" w:right="21"/>
                          <w:jc w:val="left"/>
                          <w:rPr>
                            <w:rFonts w:ascii="宋体" w:hAnsi="宋体" w:cs="宋体" w:eastAsia="宋体" w:hint="default"/>
                            <w:sz w:val="18"/>
                            <w:szCs w:val="18"/>
                          </w:rPr>
                        </w:pPr>
                        <w:r>
                          <w:rPr>
                            <w:rFonts w:ascii="宋体" w:hAnsi="宋体" w:cs="宋体" w:eastAsia="宋体" w:hint="default"/>
                            <w:sz w:val="18"/>
                            <w:szCs w:val="18"/>
                          </w:rPr>
                          <w:t>现金分红的优先顺序、具体条件、分红间隔及最低比例、审议程序等符</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合公司章程的规定或股东大会决议的要求。</w:t>
                        </w:r>
                      </w:p>
                    </w:tc>
                  </w:tr>
                  <w:tr>
                    <w:trPr>
                      <w:trHeight w:val="35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现金分红不低于当期实现归属于上市公司股东净利润的</w:t>
                        </w:r>
                        <w:r>
                          <w:rPr>
                            <w:rFonts w:ascii="宋体" w:hAnsi="宋体" w:cs="宋体" w:eastAsia="宋体" w:hint="default"/>
                            <w:spacing w:val="-47"/>
                            <w:sz w:val="18"/>
                            <w:szCs w:val="18"/>
                          </w:rPr>
                          <w:t> </w:t>
                        </w:r>
                        <w:r>
                          <w:rPr>
                            <w:rFonts w:ascii="宋体" w:hAnsi="宋体" w:cs="宋体" w:eastAsia="宋体" w:hint="default"/>
                            <w:sz w:val="18"/>
                            <w:szCs w:val="18"/>
                          </w:rPr>
                          <w:t>10%。</w:t>
                        </w:r>
                      </w:p>
                    </w:tc>
                  </w:tr>
                  <w:tr>
                    <w:trPr>
                      <w:trHeight w:val="478"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完备。根据公司章程规定、经营需求、审计报告类型、每股收益、投资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者反映、独立董事意见等综合决策。</w:t>
                        </w:r>
                      </w:p>
                    </w:tc>
                  </w:tr>
                  <w:tr>
                    <w:trPr>
                      <w:trHeight w:val="528"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24" w:right="21"/>
                          <w:jc w:val="left"/>
                          <w:rPr>
                            <w:rFonts w:ascii="宋体" w:hAnsi="宋体" w:cs="宋体" w:eastAsia="宋体" w:hint="default"/>
                            <w:sz w:val="18"/>
                            <w:szCs w:val="18"/>
                          </w:rPr>
                        </w:pPr>
                        <w:r>
                          <w:rPr>
                            <w:rFonts w:ascii="宋体" w:hAnsi="宋体" w:cs="宋体" w:eastAsia="宋体" w:hint="default"/>
                            <w:sz w:val="18"/>
                            <w:szCs w:val="18"/>
                          </w:rPr>
                          <w:t>了解是否具备公司章程规定的现金分红条件，提出分红建议，对分红预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案事先发表意见。</w:t>
                        </w:r>
                      </w:p>
                    </w:tc>
                  </w:tr>
                  <w:tr>
                    <w:trPr>
                      <w:trHeight w:val="478"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法权益是否得到了充分保护：</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中小股东有充分表达意见和诉求的机会，其合法权益得到了充分保护。</w:t>
                        </w:r>
                      </w:p>
                    </w:tc>
                  </w:tr>
                  <w:tr>
                    <w:trPr>
                      <w:trHeight w:val="478"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合规、透明：</w:t>
                        </w:r>
                      </w:p>
                    </w:tc>
                    <w:tc>
                      <w:tcPr>
                        <w:tcW w:w="5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报告期公司没有调整或变更现金分红政策。</w:t>
                        </w:r>
                      </w:p>
                    </w:tc>
                  </w:tr>
                </w:tbl>
                <w:p>
                  <w:pPr/>
                </w:p>
              </w:txbxContent>
            </v:textbox>
            <w10:wrap type="none"/>
          </v:shape>
        </w:pict>
      </w:r>
      <w:r>
        <w:rPr>
          <w:rFonts w:ascii="宋体" w:hAnsi="宋体" w:cs="宋体" w:eastAsia="宋体" w:hint="default"/>
          <w:b/>
          <w:bCs/>
          <w:sz w:val="21"/>
          <w:szCs w:val="21"/>
        </w:rPr>
        <w:t>第一节</w:t>
        <w:tab/>
        <w:t>普通股利润分配及资本公积金转增股本情况</w:t>
      </w:r>
      <w:r>
        <w:rPr>
          <w:rFonts w:ascii="宋体" w:hAnsi="宋体" w:cs="宋体" w:eastAsia="宋体" w:hint="default"/>
          <w:b/>
          <w:bCs/>
          <w:w w:val="100"/>
          <w:sz w:val="21"/>
          <w:szCs w:val="21"/>
        </w:rPr>
        <w:t> </w:t>
      </w:r>
      <w:r>
        <w:rPr>
          <w:rFonts w:ascii="宋体" w:hAnsi="宋体" w:cs="宋体" w:eastAsia="宋体" w:hint="default"/>
          <w:spacing w:val="-2"/>
          <w:sz w:val="21"/>
          <w:szCs w:val="21"/>
        </w:rPr>
        <w:t>一、报告期内普通股利润分配政策，特别是现金分红政策的制定、执行或调整情况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6" w:lineRule="auto" w:before="36"/>
        <w:ind w:left="813" w:right="2951"/>
        <w:jc w:val="left"/>
      </w:pPr>
      <w:r>
        <w:rPr/>
        <w:t>二、公司近</w:t>
      </w:r>
      <w:r>
        <w:rPr>
          <w:spacing w:val="-57"/>
        </w:rPr>
        <w:t> </w:t>
      </w:r>
      <w:r>
        <w:rPr/>
        <w:t>3</w:t>
      </w:r>
      <w:r>
        <w:rPr>
          <w:spacing w:val="-57"/>
        </w:rPr>
        <w:t> </w:t>
      </w:r>
      <w:r>
        <w:rPr/>
        <w:t>年(包括本报告期)的普通股利润分配方案(预案)情况</w:t>
      </w:r>
      <w:r>
        <w:rPr>
          <w:w w:val="100"/>
        </w:rPr>
        <w:t> </w:t>
      </w:r>
      <w:r>
        <w:rPr/>
        <w:t>1、普通股股利分配方案(预案)、资本公积金转增股本方案(预案)</w:t>
      </w:r>
    </w:p>
    <w:tbl>
      <w:tblPr>
        <w:tblW w:w="0" w:type="auto"/>
        <w:jc w:val="left"/>
        <w:tblInd w:w="105" w:type="dxa"/>
        <w:tblLayout w:type="fixed"/>
        <w:tblCellMar>
          <w:top w:w="0" w:type="dxa"/>
          <w:left w:w="0" w:type="dxa"/>
          <w:bottom w:w="0" w:type="dxa"/>
          <w:right w:w="0" w:type="dxa"/>
        </w:tblCellMar>
        <w:tblLook w:val="01E0"/>
      </w:tblPr>
      <w:tblGrid>
        <w:gridCol w:w="3118"/>
        <w:gridCol w:w="6521"/>
      </w:tblGrid>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分配年度</w:t>
            </w:r>
          </w:p>
        </w:tc>
        <w:tc>
          <w:tcPr>
            <w:tcW w:w="6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分配方案</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9"/>
                <w:sz w:val="18"/>
                <w:szCs w:val="18"/>
              </w:rPr>
              <w:t> </w:t>
            </w:r>
            <w:r>
              <w:rPr>
                <w:rFonts w:ascii="宋体" w:hAnsi="宋体" w:cs="宋体" w:eastAsia="宋体" w:hint="default"/>
                <w:sz w:val="18"/>
                <w:szCs w:val="18"/>
              </w:rPr>
              <w:t>0.37</w:t>
            </w:r>
            <w:r>
              <w:rPr>
                <w:rFonts w:ascii="宋体" w:hAnsi="宋体" w:cs="宋体" w:eastAsia="宋体" w:hint="default"/>
                <w:spacing w:val="-47"/>
                <w:sz w:val="18"/>
                <w:szCs w:val="18"/>
              </w:rPr>
              <w:t> </w:t>
            </w:r>
            <w:r>
              <w:rPr>
                <w:rFonts w:ascii="宋体" w:hAnsi="宋体" w:cs="宋体" w:eastAsia="宋体" w:hint="default"/>
                <w:sz w:val="18"/>
                <w:szCs w:val="18"/>
              </w:rPr>
              <w:t>元(含税)，不送股，不进行资本公积金转增股本。</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5"/>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9"/>
                <w:sz w:val="18"/>
                <w:szCs w:val="18"/>
              </w:rPr>
              <w:t> </w:t>
            </w:r>
            <w:r>
              <w:rPr>
                <w:rFonts w:ascii="宋体" w:hAnsi="宋体" w:cs="宋体" w:eastAsia="宋体" w:hint="default"/>
                <w:sz w:val="18"/>
                <w:szCs w:val="18"/>
              </w:rPr>
              <w:t>0.36</w:t>
            </w:r>
            <w:r>
              <w:rPr>
                <w:rFonts w:ascii="宋体" w:hAnsi="宋体" w:cs="宋体" w:eastAsia="宋体" w:hint="default"/>
                <w:spacing w:val="-46"/>
                <w:sz w:val="18"/>
                <w:szCs w:val="18"/>
              </w:rPr>
              <w:t> </w:t>
            </w:r>
            <w:r>
              <w:rPr>
                <w:rFonts w:ascii="宋体" w:hAnsi="宋体" w:cs="宋体" w:eastAsia="宋体" w:hint="default"/>
                <w:sz w:val="18"/>
                <w:szCs w:val="18"/>
              </w:rPr>
              <w:t>元(含税)，不送股，不进行资本公积金转增股本。</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6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9"/>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z w:val="18"/>
                <w:szCs w:val="18"/>
              </w:rPr>
              <w:t>元(含税)，不送股，不进行资本公积金转增股本。</w:t>
            </w:r>
          </w:p>
        </w:tc>
      </w:tr>
    </w:tbl>
    <w:p>
      <w:pPr>
        <w:spacing w:line="240" w:lineRule="auto" w:before="7"/>
        <w:rPr>
          <w:rFonts w:ascii="宋体" w:hAnsi="宋体" w:cs="宋体" w:eastAsia="宋体" w:hint="default"/>
          <w:sz w:val="20"/>
          <w:szCs w:val="20"/>
        </w:rPr>
      </w:pPr>
    </w:p>
    <w:p>
      <w:pPr>
        <w:pStyle w:val="BodyText"/>
        <w:spacing w:line="240" w:lineRule="auto" w:before="36"/>
        <w:ind w:left="813" w:right="1174"/>
        <w:jc w:val="left"/>
      </w:pPr>
      <w:r>
        <w:rPr/>
        <w:t>2、公司近</w:t>
      </w:r>
      <w:r>
        <w:rPr>
          <w:spacing w:val="-57"/>
        </w:rPr>
        <w:t> </w:t>
      </w:r>
      <w:r>
        <w:rPr/>
        <w:t>3</w:t>
      </w:r>
      <w:r>
        <w:rPr>
          <w:spacing w:val="-55"/>
        </w:rPr>
        <w:t> </w:t>
      </w:r>
      <w:r>
        <w:rPr/>
        <w:t>年(包括本报告期)普通股现金分红情况表(单位：元)</w:t>
      </w: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60"/>
        <w:gridCol w:w="1985"/>
        <w:gridCol w:w="1982"/>
        <w:gridCol w:w="1560"/>
        <w:gridCol w:w="1277"/>
        <w:gridCol w:w="1274"/>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分红年度合并报表中归</w:t>
            </w:r>
          </w:p>
          <w:p>
            <w:pPr>
              <w:pStyle w:val="TableParagraph"/>
              <w:spacing w:line="232" w:lineRule="exact" w:before="23"/>
              <w:ind w:left="24" w:right="146"/>
              <w:jc w:val="left"/>
              <w:rPr>
                <w:rFonts w:ascii="宋体" w:hAnsi="宋体" w:cs="宋体" w:eastAsia="宋体" w:hint="default"/>
                <w:sz w:val="18"/>
                <w:szCs w:val="18"/>
              </w:rPr>
            </w:pPr>
            <w:r>
              <w:rPr>
                <w:rFonts w:ascii="宋体" w:hAnsi="宋体" w:cs="宋体" w:eastAsia="宋体" w:hint="default"/>
                <w:sz w:val="18"/>
                <w:szCs w:val="18"/>
              </w:rPr>
              <w:t>属于上市公司股东的净 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p>
            <w:pPr>
              <w:pStyle w:val="TableParagraph"/>
              <w:spacing w:line="232" w:lineRule="exact" w:before="23"/>
              <w:ind w:left="24" w:right="84"/>
              <w:jc w:val="left"/>
              <w:rPr>
                <w:rFonts w:ascii="宋体" w:hAnsi="宋体" w:cs="宋体" w:eastAsia="宋体" w:hint="default"/>
                <w:sz w:val="18"/>
                <w:szCs w:val="18"/>
              </w:rPr>
            </w:pPr>
            <w:r>
              <w:rPr>
                <w:rFonts w:ascii="宋体" w:hAnsi="宋体" w:cs="宋体" w:eastAsia="宋体" w:hint="default"/>
                <w:sz w:val="18"/>
                <w:szCs w:val="18"/>
              </w:rPr>
              <w:t>于上市公司股东的 净利润的比率(%)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160"/>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160"/>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bl>
    <w:p>
      <w:pPr>
        <w:spacing w:after="0" w:line="240" w:lineRule="auto"/>
        <w:jc w:val="left"/>
        <w:rPr>
          <w:rFonts w:ascii="宋体" w:hAnsi="宋体" w:cs="宋体" w:eastAsia="宋体" w:hint="default"/>
          <w:sz w:val="18"/>
          <w:szCs w:val="18"/>
        </w:rPr>
        <w:sectPr>
          <w:footerReference w:type="default" r:id="rId28"/>
          <w:pgSz w:w="11910" w:h="16840"/>
          <w:pgMar w:footer="1000" w:header="884"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60"/>
        <w:gridCol w:w="1985"/>
        <w:gridCol w:w="1982"/>
        <w:gridCol w:w="1560"/>
        <w:gridCol w:w="1277"/>
        <w:gridCol w:w="1274"/>
      </w:tblGrid>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5"/>
              <w:jc w:val="right"/>
              <w:rPr>
                <w:rFonts w:ascii="宋体" w:hAnsi="宋体" w:cs="宋体" w:eastAsia="宋体" w:hint="default"/>
                <w:sz w:val="18"/>
                <w:szCs w:val="18"/>
              </w:rPr>
            </w:pPr>
            <w:r>
              <w:rPr>
                <w:rFonts w:ascii="宋体"/>
                <w:sz w:val="18"/>
              </w:rPr>
              <w:t>23,007,591.08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7"/>
              <w:jc w:val="right"/>
              <w:rPr>
                <w:rFonts w:ascii="宋体" w:hAnsi="宋体" w:cs="宋体" w:eastAsia="宋体" w:hint="default"/>
                <w:sz w:val="18"/>
                <w:szCs w:val="18"/>
              </w:rPr>
            </w:pPr>
            <w:r>
              <w:rPr>
                <w:rFonts w:ascii="宋体"/>
                <w:sz w:val="18"/>
              </w:rPr>
              <w:t>228,581,216.75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sz w:val="18"/>
              </w:rPr>
              <w:t>---</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3"/>
              <w:jc w:val="right"/>
              <w:rPr>
                <w:rFonts w:ascii="宋体" w:hAnsi="宋体" w:cs="宋体" w:eastAsia="宋体" w:hint="default"/>
                <w:sz w:val="18"/>
                <w:szCs w:val="18"/>
              </w:rPr>
            </w:pPr>
            <w:r>
              <w:rPr>
                <w:rFonts w:ascii="宋体"/>
                <w:sz w:val="18"/>
              </w:rPr>
              <w:t>22,385,764.30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7"/>
              <w:jc w:val="right"/>
              <w:rPr>
                <w:rFonts w:ascii="宋体" w:hAnsi="宋体" w:cs="宋体" w:eastAsia="宋体" w:hint="default"/>
                <w:sz w:val="18"/>
                <w:szCs w:val="18"/>
              </w:rPr>
            </w:pPr>
            <w:r>
              <w:rPr>
                <w:rFonts w:ascii="宋体"/>
                <w:sz w:val="18"/>
              </w:rPr>
              <w:t>219,954,137.88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sz w:val="18"/>
              </w:rPr>
              <w:t>---</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5"/>
              <w:jc w:val="right"/>
              <w:rPr>
                <w:rFonts w:ascii="宋体" w:hAnsi="宋体" w:cs="宋体" w:eastAsia="宋体" w:hint="default"/>
                <w:sz w:val="18"/>
                <w:szCs w:val="18"/>
              </w:rPr>
            </w:pPr>
            <w:r>
              <w:rPr>
                <w:rFonts w:ascii="宋体"/>
                <w:sz w:val="18"/>
              </w:rPr>
              <w:t>15,545,669.65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7"/>
              <w:jc w:val="right"/>
              <w:rPr>
                <w:rFonts w:ascii="宋体" w:hAnsi="宋体" w:cs="宋体" w:eastAsia="宋体" w:hint="default"/>
                <w:sz w:val="18"/>
                <w:szCs w:val="18"/>
              </w:rPr>
            </w:pPr>
            <w:r>
              <w:rPr>
                <w:rFonts w:ascii="宋体"/>
                <w:sz w:val="18"/>
              </w:rPr>
              <w:t>153,603,203.01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1"/>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tabs>
          <w:tab w:pos="1024" w:val="left" w:leader="none"/>
          <w:tab w:pos="1970" w:val="left" w:leader="none"/>
        </w:tabs>
        <w:spacing w:line="273" w:lineRule="auto" w:before="36"/>
        <w:ind w:left="393" w:right="454" w:firstLine="420"/>
        <w:jc w:val="left"/>
      </w:pPr>
      <w:r>
        <w:rPr>
          <w:spacing w:val="-2"/>
        </w:rPr>
        <w:t>三、公司报告期内盈利且母公司可供普通股股东分配利润为正但未提出普通股现金红利分配预</w:t>
      </w:r>
      <w:r>
        <w:rPr>
          <w:w w:val="100"/>
        </w:rPr>
        <w:t> </w:t>
      </w:r>
      <w:r>
        <w:rPr/>
        <w:t>案</w:t>
        <w:tab/>
        <w:t>□</w:t>
      </w:r>
      <w:r>
        <w:rPr>
          <w:spacing w:val="1"/>
        </w:rPr>
        <w:t> </w:t>
      </w:r>
      <w:r>
        <w:rPr/>
        <w:t>适用</w:t>
        <w:tab/>
        <w:t>√</w:t>
      </w:r>
      <w:r>
        <w:rPr>
          <w:spacing w:val="1"/>
        </w:rPr>
        <w:t> </w:t>
      </w:r>
      <w:r>
        <w:rPr/>
        <w:t>不适用。</w:t>
      </w:r>
    </w:p>
    <w:p>
      <w:pPr>
        <w:pStyle w:val="BodyText"/>
        <w:spacing w:line="240" w:lineRule="auto" w:before="163"/>
        <w:ind w:left="813" w:right="1174"/>
        <w:jc w:val="left"/>
      </w:pPr>
      <w:r>
        <w:rPr/>
        <w:t>四、本报告期利润分配及资本公积金转增股本预案</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686"/>
        <w:gridCol w:w="5952"/>
      </w:tblGrid>
      <w:tr>
        <w:trPr>
          <w:trHeight w:val="35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股送红股数(股)</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0</w:t>
            </w:r>
          </w:p>
        </w:tc>
      </w:tr>
      <w:tr>
        <w:trPr>
          <w:trHeight w:val="35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股派息数(元)(含税)</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0.37</w:t>
            </w:r>
          </w:p>
        </w:tc>
      </w:tr>
      <w:tr>
        <w:trPr>
          <w:trHeight w:val="348"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股转增数(股)</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0</w:t>
            </w:r>
          </w:p>
        </w:tc>
      </w:tr>
      <w:tr>
        <w:trPr>
          <w:trHeight w:val="35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621,826,786</w:t>
            </w:r>
          </w:p>
        </w:tc>
      </w:tr>
      <w:tr>
        <w:trPr>
          <w:trHeight w:val="35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23,007,591.08</w:t>
            </w:r>
          </w:p>
        </w:tc>
      </w:tr>
      <w:tr>
        <w:trPr>
          <w:trHeight w:val="35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845,190,123.03</w:t>
            </w:r>
          </w:p>
        </w:tc>
      </w:tr>
      <w:tr>
        <w:trPr>
          <w:trHeight w:val="35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10.07%</w:t>
            </w:r>
          </w:p>
        </w:tc>
      </w:tr>
      <w:tr>
        <w:trPr>
          <w:trHeight w:val="350"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48"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日的公司总股本为基数，向全体股东每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宋体" w:hAnsi="宋体" w:cs="宋体" w:eastAsia="宋体" w:hint="default"/>
                <w:sz w:val="18"/>
                <w:szCs w:val="18"/>
              </w:rPr>
              <w:t>0.37</w:t>
            </w:r>
            <w:r>
              <w:rPr>
                <w:rFonts w:ascii="宋体" w:hAnsi="宋体" w:cs="宋体" w:eastAsia="宋体" w:hint="default"/>
                <w:spacing w:val="-45"/>
                <w:sz w:val="18"/>
                <w:szCs w:val="18"/>
              </w:rPr>
              <w:t> </w:t>
            </w:r>
            <w:r>
              <w:rPr>
                <w:rFonts w:ascii="宋体" w:hAnsi="宋体" w:cs="宋体" w:eastAsia="宋体" w:hint="default"/>
                <w:sz w:val="18"/>
                <w:szCs w:val="18"/>
              </w:rPr>
              <w:t>元(含税)。</w:t>
            </w:r>
          </w:p>
        </w:tc>
      </w:tr>
      <w:tr>
        <w:trPr>
          <w:trHeight w:val="350"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2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846"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0"/>
              <w:ind w:left="381" w:right="0"/>
              <w:jc w:val="left"/>
              <w:rPr>
                <w:rFonts w:ascii="宋体" w:hAnsi="宋体" w:cs="宋体" w:eastAsia="宋体" w:hint="default"/>
                <w:sz w:val="18"/>
                <w:szCs w:val="18"/>
              </w:rPr>
            </w:pPr>
            <w:r>
              <w:rPr>
                <w:rFonts w:ascii="宋体" w:hAnsi="宋体" w:cs="宋体" w:eastAsia="宋体" w:hint="default"/>
                <w:sz w:val="18"/>
                <w:szCs w:val="18"/>
              </w:rPr>
              <w:t>经中兴华会计师事务所(特殊普通合伙)审计，报告期公司实现净利润为 228,581,216.75</w:t>
            </w:r>
            <w:r>
              <w:rPr>
                <w:rFonts w:ascii="宋体" w:hAnsi="宋体" w:cs="宋体" w:eastAsia="宋体" w:hint="default"/>
                <w:spacing w:val="31"/>
                <w:sz w:val="18"/>
                <w:szCs w:val="18"/>
              </w:rPr>
              <w:t> </w:t>
            </w:r>
            <w:r>
              <w:rPr>
                <w:rFonts w:ascii="宋体" w:hAnsi="宋体" w:cs="宋体" w:eastAsia="宋体" w:hint="default"/>
                <w:sz w:val="18"/>
                <w:szCs w:val="18"/>
              </w:rPr>
              <w:t>元，按照公司章程规定提取</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10%的法定盈余公积金</w:t>
            </w:r>
            <w:r>
              <w:rPr>
                <w:rFonts w:ascii="宋体" w:hAnsi="宋体" w:cs="宋体" w:eastAsia="宋体" w:hint="default"/>
                <w:spacing w:val="-47"/>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元，当年可供股东分配的利润为</w:t>
            </w:r>
            <w:r>
              <w:rPr>
                <w:rFonts w:ascii="宋体" w:hAnsi="宋体" w:cs="宋体" w:eastAsia="宋体" w:hint="default"/>
                <w:spacing w:val="-47"/>
                <w:sz w:val="18"/>
                <w:szCs w:val="18"/>
              </w:rPr>
              <w:t> </w:t>
            </w:r>
            <w:r>
              <w:rPr>
                <w:rFonts w:ascii="宋体" w:hAnsi="宋体" w:cs="宋体" w:eastAsia="宋体" w:hint="default"/>
                <w:sz w:val="18"/>
                <w:szCs w:val="18"/>
              </w:rPr>
              <w:t>228,581,216.75</w:t>
            </w:r>
            <w:r>
              <w:rPr>
                <w:rFonts w:ascii="宋体" w:hAnsi="宋体" w:cs="宋体" w:eastAsia="宋体" w:hint="default"/>
                <w:spacing w:val="-46"/>
                <w:sz w:val="18"/>
                <w:szCs w:val="18"/>
              </w:rPr>
              <w:t> </w:t>
            </w:r>
            <w:r>
              <w:rPr>
                <w:rFonts w:ascii="宋体" w:hAnsi="宋体" w:cs="宋体" w:eastAsia="宋体" w:hint="default"/>
                <w:sz w:val="18"/>
                <w:szCs w:val="18"/>
              </w:rPr>
              <w:t>元，加上上年度结存未分配利润</w:t>
            </w:r>
            <w:r>
              <w:rPr>
                <w:rFonts w:ascii="宋体" w:hAnsi="宋体" w:cs="宋体" w:eastAsia="宋体" w:hint="default"/>
                <w:spacing w:val="-47"/>
                <w:sz w:val="18"/>
                <w:szCs w:val="18"/>
              </w:rPr>
              <w:t> </w:t>
            </w:r>
            <w:r>
              <w:rPr>
                <w:rFonts w:ascii="宋体" w:hAnsi="宋体" w:cs="宋体" w:eastAsia="宋体" w:hint="default"/>
                <w:sz w:val="18"/>
                <w:szCs w:val="18"/>
              </w:rPr>
              <w:t>638,994,670.57</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元，减去</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年进行的上年度分红</w:t>
            </w:r>
            <w:r>
              <w:rPr>
                <w:rFonts w:ascii="宋体" w:hAnsi="宋体" w:cs="宋体" w:eastAsia="宋体" w:hint="default"/>
                <w:spacing w:val="-47"/>
                <w:sz w:val="18"/>
                <w:szCs w:val="18"/>
              </w:rPr>
              <w:t> </w:t>
            </w:r>
            <w:r>
              <w:rPr>
                <w:rFonts w:ascii="宋体" w:hAnsi="宋体" w:cs="宋体" w:eastAsia="宋体" w:hint="default"/>
                <w:sz w:val="18"/>
                <w:szCs w:val="18"/>
              </w:rPr>
              <w:t>22,385,764.29</w:t>
            </w:r>
            <w:r>
              <w:rPr>
                <w:rFonts w:ascii="宋体" w:hAnsi="宋体" w:cs="宋体" w:eastAsia="宋体" w:hint="default"/>
                <w:spacing w:val="-47"/>
                <w:sz w:val="18"/>
                <w:szCs w:val="18"/>
              </w:rPr>
              <w:t> </w:t>
            </w:r>
            <w:r>
              <w:rPr>
                <w:rFonts w:ascii="宋体" w:hAnsi="宋体" w:cs="宋体" w:eastAsia="宋体" w:hint="default"/>
                <w:sz w:val="18"/>
                <w:szCs w:val="18"/>
              </w:rPr>
              <w:t>元，2017</w:t>
            </w:r>
            <w:r>
              <w:rPr>
                <w:rFonts w:ascii="宋体" w:hAnsi="宋体" w:cs="宋体" w:eastAsia="宋体" w:hint="default"/>
                <w:spacing w:val="-48"/>
                <w:sz w:val="18"/>
                <w:szCs w:val="18"/>
              </w:rPr>
              <w:t> </w:t>
            </w:r>
            <w:r>
              <w:rPr>
                <w:rFonts w:ascii="宋体" w:hAnsi="宋体" w:cs="宋体" w:eastAsia="宋体" w:hint="default"/>
                <w:sz w:val="18"/>
                <w:szCs w:val="18"/>
              </w:rPr>
              <w:t>年公司实际可供股东分配的利润为</w:t>
            </w:r>
            <w:r>
              <w:rPr>
                <w:rFonts w:ascii="宋体" w:hAnsi="宋体" w:cs="宋体" w:eastAsia="宋体" w:hint="default"/>
                <w:spacing w:val="-47"/>
                <w:sz w:val="18"/>
                <w:szCs w:val="18"/>
              </w:rPr>
              <w:t> </w:t>
            </w:r>
            <w:r>
              <w:rPr>
                <w:rFonts w:ascii="宋体" w:hAnsi="宋体" w:cs="宋体" w:eastAsia="宋体" w:hint="default"/>
                <w:sz w:val="18"/>
                <w:szCs w:val="18"/>
              </w:rPr>
              <w:t>845,190,123.03</w:t>
            </w:r>
            <w:r>
              <w:rPr>
                <w:rFonts w:ascii="宋体" w:hAnsi="宋体" w:cs="宋体" w:eastAsia="宋体" w:hint="default"/>
                <w:spacing w:val="-46"/>
                <w:sz w:val="18"/>
                <w:szCs w:val="18"/>
              </w:rPr>
              <w:t> </w:t>
            </w:r>
            <w:r>
              <w:rPr>
                <w:rFonts w:ascii="宋体" w:hAnsi="宋体" w:cs="宋体" w:eastAsia="宋体" w:hint="default"/>
                <w:sz w:val="18"/>
                <w:szCs w:val="18"/>
              </w:rPr>
              <w:t>元。董事</w:t>
            </w:r>
          </w:p>
          <w:p>
            <w:pPr>
              <w:pStyle w:val="TableParagraph"/>
              <w:spacing w:line="232" w:lineRule="exact" w:before="23"/>
              <w:ind w:left="21" w:right="16"/>
              <w:jc w:val="left"/>
              <w:rPr>
                <w:rFonts w:ascii="宋体" w:hAnsi="宋体" w:cs="宋体" w:eastAsia="宋体" w:hint="default"/>
                <w:sz w:val="18"/>
                <w:szCs w:val="18"/>
              </w:rPr>
            </w:pPr>
            <w:r>
              <w:rPr>
                <w:rFonts w:ascii="宋体" w:hAnsi="宋体" w:cs="宋体" w:eastAsia="宋体" w:hint="default"/>
                <w:sz w:val="18"/>
                <w:szCs w:val="18"/>
              </w:rPr>
              <w:t>会拟定：以</w:t>
            </w:r>
            <w:r>
              <w:rPr>
                <w:rFonts w:ascii="宋体" w:hAnsi="宋体" w:cs="宋体" w:eastAsia="宋体" w:hint="default"/>
                <w:spacing w:val="-42"/>
                <w:sz w:val="18"/>
                <w:szCs w:val="18"/>
              </w:rPr>
              <w:t> </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日的公司总股本为基数，拟每</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股派</w:t>
            </w:r>
            <w:r>
              <w:rPr>
                <w:rFonts w:ascii="宋体" w:hAnsi="宋体" w:cs="宋体" w:eastAsia="宋体" w:hint="default"/>
                <w:spacing w:val="-42"/>
                <w:sz w:val="18"/>
                <w:szCs w:val="18"/>
              </w:rPr>
              <w:t> </w:t>
            </w:r>
            <w:r>
              <w:rPr>
                <w:rFonts w:ascii="宋体" w:hAnsi="宋体" w:cs="宋体" w:eastAsia="宋体" w:hint="default"/>
                <w:sz w:val="18"/>
                <w:szCs w:val="18"/>
              </w:rPr>
              <w:t>0.37</w:t>
            </w:r>
            <w:r>
              <w:rPr>
                <w:rFonts w:ascii="宋体" w:hAnsi="宋体" w:cs="宋体" w:eastAsia="宋体" w:hint="default"/>
                <w:spacing w:val="-41"/>
                <w:sz w:val="18"/>
                <w:szCs w:val="18"/>
              </w:rPr>
              <w:t> </w:t>
            </w:r>
            <w:r>
              <w:rPr>
                <w:rFonts w:ascii="宋体" w:hAnsi="宋体" w:cs="宋体" w:eastAsia="宋体" w:hint="default"/>
                <w:sz w:val="18"/>
                <w:szCs w:val="18"/>
              </w:rPr>
              <w:t>元(含税)，共计</w:t>
            </w:r>
            <w:r>
              <w:rPr>
                <w:rFonts w:ascii="宋体" w:hAnsi="宋体" w:cs="宋体" w:eastAsia="宋体" w:hint="default"/>
                <w:spacing w:val="-45"/>
                <w:sz w:val="18"/>
                <w:szCs w:val="18"/>
              </w:rPr>
              <w:t> </w:t>
            </w:r>
            <w:r>
              <w:rPr>
                <w:rFonts w:ascii="宋体" w:hAnsi="宋体" w:cs="宋体" w:eastAsia="宋体" w:hint="default"/>
                <w:sz w:val="18"/>
                <w:szCs w:val="18"/>
              </w:rPr>
              <w:t>23,007,591.08</w:t>
            </w:r>
            <w:r>
              <w:rPr>
                <w:rFonts w:ascii="宋体" w:hAnsi="宋体" w:cs="宋体" w:eastAsia="宋体" w:hint="default"/>
                <w:spacing w:val="-41"/>
                <w:sz w:val="18"/>
                <w:szCs w:val="18"/>
              </w:rPr>
              <w:t> </w:t>
            </w:r>
            <w:r>
              <w:rPr>
                <w:rFonts w:ascii="宋体" w:hAnsi="宋体" w:cs="宋体" w:eastAsia="宋体" w:hint="default"/>
                <w:sz w:val="18"/>
                <w:szCs w:val="18"/>
              </w:rPr>
              <w:t>元,不送股，也不</w:t>
            </w:r>
            <w:r>
              <w:rPr>
                <w:rFonts w:ascii="宋体" w:hAnsi="宋体" w:cs="宋体" w:eastAsia="宋体" w:hint="default"/>
                <w:sz w:val="18"/>
                <w:szCs w:val="18"/>
              </w:rPr>
              <w:t> 进行资本公积金转增股本。</w:t>
            </w:r>
          </w:p>
          <w:p>
            <w:pPr>
              <w:pStyle w:val="TableParagraph"/>
              <w:spacing w:line="212" w:lineRule="exact"/>
              <w:ind w:left="381" w:right="0"/>
              <w:jc w:val="left"/>
              <w:rPr>
                <w:rFonts w:ascii="宋体" w:hAnsi="宋体" w:cs="宋体" w:eastAsia="宋体" w:hint="default"/>
                <w:sz w:val="18"/>
                <w:szCs w:val="18"/>
              </w:rPr>
            </w:pPr>
            <w:r>
              <w:rPr>
                <w:rFonts w:ascii="宋体" w:hAnsi="宋体" w:cs="宋体" w:eastAsia="宋体" w:hint="default"/>
                <w:sz w:val="18"/>
                <w:szCs w:val="18"/>
              </w:rPr>
              <w:t>公司现金分红政策为进行股利分配时首选现金分红，保持现金分红的连续性、稳定性。本次现金分红预案符合公司章</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程规定，听取独立董事同意，充分保护中小股东的合法权益。本次利润分配预案尚需提请公司股东大会审议。</w:t>
            </w:r>
          </w:p>
        </w:tc>
      </w:tr>
    </w:tbl>
    <w:p>
      <w:pPr>
        <w:spacing w:line="240" w:lineRule="auto" w:before="2"/>
        <w:rPr>
          <w:rFonts w:ascii="宋体" w:hAnsi="宋体" w:cs="宋体" w:eastAsia="宋体" w:hint="default"/>
          <w:sz w:val="20"/>
          <w:szCs w:val="20"/>
        </w:rPr>
      </w:pPr>
    </w:p>
    <w:p>
      <w:pPr>
        <w:tabs>
          <w:tab w:pos="4480" w:val="left" w:leader="none"/>
        </w:tabs>
        <w:spacing w:before="36"/>
        <w:ind w:left="3636" w:right="1174" w:firstLine="0"/>
        <w:jc w:val="left"/>
        <w:rPr>
          <w:rFonts w:ascii="宋体" w:hAnsi="宋体" w:cs="宋体" w:eastAsia="宋体" w:hint="default"/>
          <w:sz w:val="21"/>
          <w:szCs w:val="21"/>
        </w:rPr>
      </w:pPr>
      <w:r>
        <w:rPr>
          <w:rFonts w:ascii="宋体" w:hAnsi="宋体" w:cs="宋体" w:eastAsia="宋体" w:hint="default"/>
          <w:b/>
          <w:bCs/>
          <w:sz w:val="21"/>
          <w:szCs w:val="21"/>
        </w:rPr>
        <w:t>第二节</w:t>
        <w:tab/>
        <w:t>承诺事项履行情况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73" w:lineRule="auto" w:before="0"/>
        <w:ind w:left="393" w:right="342" w:firstLine="420"/>
        <w:jc w:val="left"/>
      </w:pPr>
      <w:r>
        <w:rPr>
          <w:spacing w:val="-2"/>
        </w:rPr>
        <w:t>一、公司实际控制人、股东、关联方、收购人以及公司等相关承诺方在报告期内履行完毕及截</w:t>
      </w:r>
      <w:r>
        <w:rPr>
          <w:w w:val="100"/>
        </w:rPr>
        <w:t> </w:t>
      </w:r>
      <w:r>
        <w:rPr/>
        <w:t>至报告期末尚未履行完毕的承诺事项</w:t>
      </w:r>
    </w:p>
    <w:p>
      <w:pPr>
        <w:pStyle w:val="BodyText"/>
        <w:spacing w:line="273" w:lineRule="auto" w:before="70"/>
        <w:ind w:left="393" w:right="342" w:firstLine="420"/>
        <w:jc w:val="left"/>
      </w:pPr>
      <w:r>
        <w:rPr/>
        <w:t>(一)</w:t>
      </w:r>
      <w:r>
        <w:rPr>
          <w:spacing w:val="72"/>
        </w:rPr>
        <w:t> </w:t>
      </w:r>
      <w:r>
        <w:rPr/>
        <w:t>公司实际控制人、股东、关联方在报告期内履行完毕及截至报告期末尚未履行完毕的承</w:t>
      </w:r>
      <w:r>
        <w:rPr>
          <w:w w:val="100"/>
        </w:rPr>
        <w:t> </w:t>
      </w:r>
      <w:r>
        <w:rPr/>
        <w:t>诺事项</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34"/>
        <w:gridCol w:w="785"/>
        <w:gridCol w:w="629"/>
        <w:gridCol w:w="5182"/>
        <w:gridCol w:w="878"/>
        <w:gridCol w:w="682"/>
        <w:gridCol w:w="850"/>
      </w:tblGrid>
      <w:tr>
        <w:trPr>
          <w:trHeight w:val="511" w:hRule="exact"/>
        </w:trPr>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3" w:right="158"/>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3" w:right="153"/>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3" w:right="40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5" w:right="20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8"/>
              <w:ind w:left="103" w:right="98"/>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42"/>
                <w:sz w:val="18"/>
                <w:szCs w:val="18"/>
              </w:rPr>
              <w:t> </w:t>
            </w:r>
            <w:r>
              <w:rPr>
                <w:rFonts w:ascii="宋体" w:hAnsi="宋体" w:cs="宋体" w:eastAsia="宋体" w:hint="default"/>
                <w:sz w:val="18"/>
                <w:szCs w:val="18"/>
              </w:rPr>
              <w:t>行</w:t>
            </w:r>
            <w:r>
              <w:rPr>
                <w:rFonts w:ascii="宋体" w:hAnsi="宋体" w:cs="宋体" w:eastAsia="宋体" w:hint="default"/>
                <w:spacing w:val="-42"/>
                <w:sz w:val="18"/>
                <w:szCs w:val="18"/>
              </w:rPr>
              <w:t> </w:t>
            </w:r>
            <w:r>
              <w:rPr>
                <w:rFonts w:ascii="宋体" w:hAnsi="宋体" w:cs="宋体" w:eastAsia="宋体" w:hint="default"/>
                <w:sz w:val="18"/>
                <w:szCs w:val="18"/>
              </w:rPr>
              <w:t>情</w:t>
            </w:r>
            <w:r>
              <w:rPr>
                <w:rFonts w:ascii="宋体" w:hAnsi="宋体" w:cs="宋体" w:eastAsia="宋体" w:hint="default"/>
                <w:sz w:val="18"/>
                <w:szCs w:val="18"/>
              </w:rPr>
              <w:t> 况</w:t>
            </w:r>
          </w:p>
        </w:tc>
      </w:tr>
      <w:tr>
        <w:trPr>
          <w:trHeight w:val="468" w:hRule="exact"/>
        </w:trPr>
        <w:tc>
          <w:tcPr>
            <w:tcW w:w="6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33"/>
                <w:sz w:val="18"/>
                <w:szCs w:val="18"/>
              </w:rPr>
              <w:t> </w:t>
            </w:r>
            <w:r>
              <w:rPr>
                <w:rFonts w:ascii="宋体" w:hAnsi="宋体" w:cs="宋体" w:eastAsia="宋体" w:hint="default"/>
                <w:sz w:val="18"/>
                <w:szCs w:val="18"/>
              </w:rPr>
              <w:t>益</w:t>
            </w:r>
          </w:p>
        </w:tc>
        <w:tc>
          <w:tcPr>
            <w:tcW w:w="7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pacing w:val="9"/>
                <w:sz w:val="18"/>
                <w:szCs w:val="18"/>
              </w:rPr>
              <w:t>公司原</w:t>
            </w:r>
          </w:p>
        </w:tc>
        <w:tc>
          <w:tcPr>
            <w:tcW w:w="629" w:type="dxa"/>
            <w:tcBorders>
              <w:top w:val="single" w:sz="4" w:space="0" w:color="000000"/>
              <w:left w:val="single" w:sz="4" w:space="0" w:color="000000"/>
              <w:bottom w:val="nil" w:sz="6" w:space="0" w:color="auto"/>
              <w:right w:val="single" w:sz="4" w:space="0" w:color="000000"/>
            </w:tcBorders>
          </w:tcPr>
          <w:p>
            <w:pPr/>
          </w:p>
        </w:tc>
        <w:tc>
          <w:tcPr>
            <w:tcW w:w="5182" w:type="dxa"/>
            <w:tcBorders>
              <w:top w:val="single" w:sz="4" w:space="0" w:color="000000"/>
              <w:left w:val="single" w:sz="4" w:space="0" w:color="000000"/>
              <w:bottom w:val="nil" w:sz="6" w:space="0" w:color="auto"/>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10"/>
                <w:sz w:val="18"/>
                <w:szCs w:val="18"/>
              </w:rPr>
              <w:t>1、与公司在业务、资产、人员、机构、财务等方面做到分开。</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2、在控制公司权益期间，将尽量减少并规范与公司的关联</w:t>
            </w:r>
          </w:p>
        </w:tc>
        <w:tc>
          <w:tcPr>
            <w:tcW w:w="878"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spacing w:val="-33"/>
                <w:sz w:val="18"/>
                <w:szCs w:val="18"/>
              </w:rPr>
              <w:t> </w:t>
            </w:r>
            <w:r>
              <w:rPr>
                <w:rFonts w:ascii="宋体" w:hAnsi="宋体" w:cs="宋体" w:eastAsia="宋体" w:hint="default"/>
                <w:sz w:val="18"/>
                <w:szCs w:val="18"/>
              </w:rPr>
              <w:t>动</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控股股</w:t>
            </w:r>
          </w:p>
        </w:tc>
        <w:tc>
          <w:tcPr>
            <w:tcW w:w="629" w:type="dxa"/>
            <w:tcBorders>
              <w:top w:val="nil" w:sz="6" w:space="0" w:color="auto"/>
              <w:left w:val="single" w:sz="4" w:space="0" w:color="000000"/>
              <w:bottom w:val="nil" w:sz="6" w:space="0" w:color="auto"/>
              <w:right w:val="single" w:sz="4" w:space="0" w:color="000000"/>
            </w:tcBorders>
          </w:tcPr>
          <w:p>
            <w:pPr/>
          </w:p>
        </w:tc>
        <w:tc>
          <w:tcPr>
            <w:tcW w:w="518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交易。若有不可避免的关联交易，将与公司依法签订协议，履行</w:t>
            </w:r>
          </w:p>
        </w:tc>
        <w:tc>
          <w:tcPr>
            <w:tcW w:w="878"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700"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316" w:lineRule="auto" w:before="46"/>
              <w:ind w:left="103" w:right="101"/>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33"/>
                <w:sz w:val="18"/>
                <w:szCs w:val="18"/>
              </w:rPr>
              <w:t> </w:t>
            </w:r>
            <w:r>
              <w:rPr>
                <w:rFonts w:ascii="宋体" w:hAnsi="宋体" w:cs="宋体" w:eastAsia="宋体" w:hint="default"/>
                <w:sz w:val="18"/>
                <w:szCs w:val="18"/>
              </w:rPr>
              <w:t>告</w:t>
            </w:r>
            <w:r>
              <w:rPr>
                <w:rFonts w:ascii="宋体" w:hAnsi="宋体" w:cs="宋体" w:eastAsia="宋体" w:hint="default"/>
                <w:sz w:val="18"/>
                <w:szCs w:val="18"/>
              </w:rPr>
              <w:t> 书</w:t>
            </w:r>
            <w:r>
              <w:rPr>
                <w:rFonts w:ascii="宋体" w:hAnsi="宋体" w:cs="宋体" w:eastAsia="宋体" w:hint="default"/>
                <w:spacing w:val="-33"/>
                <w:sz w:val="18"/>
                <w:szCs w:val="18"/>
              </w:rPr>
              <w:t> </w:t>
            </w:r>
            <w:r>
              <w:rPr>
                <w:rFonts w:ascii="宋体" w:hAnsi="宋体" w:cs="宋体" w:eastAsia="宋体" w:hint="default"/>
                <w:sz w:val="18"/>
                <w:szCs w:val="18"/>
              </w:rPr>
              <w:t>中</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316" w:lineRule="auto" w:before="46"/>
              <w:ind w:left="103" w:right="101"/>
              <w:jc w:val="left"/>
              <w:rPr>
                <w:rFonts w:ascii="宋体" w:hAnsi="宋体" w:cs="宋体" w:eastAsia="宋体" w:hint="default"/>
                <w:sz w:val="18"/>
                <w:szCs w:val="18"/>
              </w:rPr>
            </w:pPr>
            <w:r>
              <w:rPr>
                <w:rFonts w:ascii="宋体" w:hAnsi="宋体" w:cs="宋体" w:eastAsia="宋体" w:hint="default"/>
                <w:spacing w:val="9"/>
                <w:sz w:val="18"/>
                <w:szCs w:val="18"/>
              </w:rPr>
              <w:t>东中兆</w:t>
            </w:r>
            <w:r>
              <w:rPr>
                <w:rFonts w:ascii="宋体" w:hAnsi="宋体" w:cs="宋体" w:eastAsia="宋体" w:hint="default"/>
                <w:sz w:val="18"/>
                <w:szCs w:val="18"/>
              </w:rPr>
              <w:t> </w:t>
            </w:r>
            <w:r>
              <w:rPr>
                <w:rFonts w:ascii="宋体" w:hAnsi="宋体" w:cs="宋体" w:eastAsia="宋体" w:hint="default"/>
                <w:spacing w:val="9"/>
                <w:sz w:val="18"/>
                <w:szCs w:val="18"/>
              </w:rPr>
              <w:t>投资管</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35"/>
                <w:sz w:val="18"/>
                <w:szCs w:val="18"/>
              </w:rPr>
              <w:t> </w:t>
            </w:r>
            <w:r>
              <w:rPr>
                <w:rFonts w:ascii="宋体" w:hAnsi="宋体" w:cs="宋体" w:eastAsia="宋体" w:hint="default"/>
                <w:sz w:val="18"/>
                <w:szCs w:val="18"/>
              </w:rPr>
              <w:t>固</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35"/>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1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合法程序，保证不通过关联交易损害公司及其他股东的合法权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3、将不通过除公司以外的经营主体在秦皇岛地区新建或收</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2"/>
                <w:sz w:val="18"/>
                <w:szCs w:val="18"/>
              </w:rPr>
              <w:t> </w:t>
            </w:r>
            <w:r>
              <w:rPr>
                <w:rFonts w:ascii="宋体" w:hAnsi="宋体" w:cs="宋体" w:eastAsia="宋体" w:hint="default"/>
                <w:spacing w:val="-3"/>
                <w:sz w:val="18"/>
                <w:szCs w:val="18"/>
              </w:rPr>
              <w:t>年9</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46"/>
              <w:ind w:left="103" w:right="98"/>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42"/>
                <w:sz w:val="18"/>
                <w:szCs w:val="18"/>
              </w:rPr>
              <w:t> </w:t>
            </w:r>
            <w:r>
              <w:rPr>
                <w:rFonts w:ascii="宋体" w:hAnsi="宋体" w:cs="宋体" w:eastAsia="宋体" w:hint="default"/>
                <w:sz w:val="18"/>
                <w:szCs w:val="18"/>
              </w:rPr>
              <w:t>守</w:t>
            </w:r>
            <w:r>
              <w:rPr>
                <w:rFonts w:ascii="宋体" w:hAnsi="宋体" w:cs="宋体" w:eastAsia="宋体" w:hint="default"/>
                <w:spacing w:val="-42"/>
                <w:sz w:val="18"/>
                <w:szCs w:val="18"/>
              </w:rPr>
              <w:t> </w:t>
            </w:r>
            <w:r>
              <w:rPr>
                <w:rFonts w:ascii="宋体" w:hAnsi="宋体" w:cs="宋体" w:eastAsia="宋体" w:hint="default"/>
                <w:sz w:val="18"/>
                <w:szCs w:val="18"/>
              </w:rPr>
              <w:t>了</w:t>
            </w:r>
            <w:r>
              <w:rPr>
                <w:rFonts w:ascii="宋体" w:hAnsi="宋体" w:cs="宋体" w:eastAsia="宋体" w:hint="default"/>
                <w:sz w:val="18"/>
                <w:szCs w:val="18"/>
              </w:rPr>
              <w:t> 承诺。</w:t>
            </w:r>
          </w:p>
        </w:tc>
      </w:tr>
      <w:tr>
        <w:trPr>
          <w:trHeight w:val="234"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33"/>
                <w:sz w:val="18"/>
                <w:szCs w:val="18"/>
              </w:rPr>
              <w:t> </w:t>
            </w:r>
            <w:r>
              <w:rPr>
                <w:rFonts w:ascii="宋体" w:hAnsi="宋体" w:cs="宋体" w:eastAsia="宋体" w:hint="default"/>
                <w:sz w:val="18"/>
                <w:szCs w:val="18"/>
              </w:rPr>
              <w:t>作</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理有限</w:t>
            </w:r>
          </w:p>
        </w:tc>
        <w:tc>
          <w:tcPr>
            <w:tcW w:w="629" w:type="dxa"/>
            <w:tcBorders>
              <w:top w:val="nil" w:sz="6" w:space="0" w:color="auto"/>
              <w:left w:val="single" w:sz="4" w:space="0" w:color="000000"/>
              <w:bottom w:val="nil" w:sz="6" w:space="0" w:color="auto"/>
              <w:right w:val="single" w:sz="4" w:space="0" w:color="000000"/>
            </w:tcBorders>
          </w:tcPr>
          <w:p>
            <w:pPr/>
          </w:p>
        </w:tc>
        <w:tc>
          <w:tcPr>
            <w:tcW w:w="518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购与公司目前在秦皇岛地区经营同类的商业项目</w:t>
            </w:r>
            <w:r>
              <w:rPr>
                <w:rFonts w:ascii="宋体" w:hAnsi="宋体" w:cs="宋体" w:eastAsia="宋体" w:hint="default"/>
                <w:spacing w:val="-75"/>
                <w:sz w:val="18"/>
                <w:szCs w:val="18"/>
              </w:rPr>
              <w:t>，</w:t>
            </w:r>
            <w:r>
              <w:rPr>
                <w:rFonts w:ascii="宋体" w:hAnsi="宋体" w:cs="宋体" w:eastAsia="宋体" w:hint="default"/>
                <w:sz w:val="18"/>
                <w:szCs w:val="18"/>
              </w:rPr>
              <w:t>对于新建或存</w:t>
            </w:r>
          </w:p>
        </w:tc>
        <w:tc>
          <w:tcPr>
            <w:tcW w:w="878"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473" w:hRule="exact"/>
        </w:trPr>
        <w:tc>
          <w:tcPr>
            <w:tcW w:w="6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9" w:type="dxa"/>
            <w:tcBorders>
              <w:top w:val="nil" w:sz="6" w:space="0" w:color="auto"/>
              <w:left w:val="single" w:sz="4" w:space="0" w:color="000000"/>
              <w:bottom w:val="single" w:sz="4" w:space="0" w:color="000000"/>
              <w:right w:val="single" w:sz="4" w:space="0" w:color="000000"/>
            </w:tcBorders>
          </w:tcPr>
          <w:p>
            <w:pPr/>
          </w:p>
        </w:tc>
        <w:tc>
          <w:tcPr>
            <w:tcW w:w="518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在收购可能性的该类商业项目资源，将优先推荐给公司，公司具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有优先选择权。</w:t>
            </w:r>
          </w:p>
        </w:tc>
        <w:tc>
          <w:tcPr>
            <w:tcW w:w="878"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1000" w:header="884" w:top="1140" w:bottom="1200" w:left="1080" w:right="960"/>
          <w:pgNumType w:start="31"/>
        </w:sect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26"/>
        <w:gridCol w:w="216"/>
        <w:gridCol w:w="576"/>
        <w:gridCol w:w="175"/>
        <w:gridCol w:w="454"/>
        <w:gridCol w:w="127"/>
        <w:gridCol w:w="94"/>
        <w:gridCol w:w="4961"/>
        <w:gridCol w:w="566"/>
        <w:gridCol w:w="312"/>
        <w:gridCol w:w="324"/>
        <w:gridCol w:w="358"/>
        <w:gridCol w:w="230"/>
        <w:gridCol w:w="619"/>
      </w:tblGrid>
      <w:tr>
        <w:trPr>
          <w:trHeight w:val="379" w:hRule="exact"/>
        </w:trPr>
        <w:tc>
          <w:tcPr>
            <w:tcW w:w="6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33"/>
                <w:sz w:val="18"/>
                <w:szCs w:val="18"/>
              </w:rPr>
              <w:t> </w:t>
            </w:r>
            <w:r>
              <w:rPr>
                <w:rFonts w:ascii="宋体" w:hAnsi="宋体" w:cs="宋体" w:eastAsia="宋体" w:hint="default"/>
                <w:sz w:val="18"/>
                <w:szCs w:val="18"/>
              </w:rPr>
              <w:t>益</w:t>
            </w:r>
          </w:p>
        </w:tc>
        <w:tc>
          <w:tcPr>
            <w:tcW w:w="79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pacing w:val="9"/>
                <w:sz w:val="18"/>
                <w:szCs w:val="18"/>
              </w:rPr>
              <w:t>公司原</w:t>
            </w:r>
          </w:p>
        </w:tc>
        <w:tc>
          <w:tcPr>
            <w:tcW w:w="629" w:type="dxa"/>
            <w:gridSpan w:val="2"/>
            <w:tcBorders>
              <w:top w:val="single" w:sz="4" w:space="0" w:color="000000"/>
              <w:left w:val="single" w:sz="4" w:space="0" w:color="000000"/>
              <w:bottom w:val="nil" w:sz="6" w:space="0" w:color="auto"/>
              <w:right w:val="single" w:sz="4" w:space="0" w:color="000000"/>
            </w:tcBorders>
          </w:tcPr>
          <w:p>
            <w:pPr/>
          </w:p>
        </w:tc>
        <w:tc>
          <w:tcPr>
            <w:tcW w:w="5182" w:type="dxa"/>
            <w:gridSpan w:val="3"/>
            <w:tcBorders>
              <w:top w:val="single" w:sz="4" w:space="0" w:color="000000"/>
              <w:left w:val="single" w:sz="4" w:space="0" w:color="000000"/>
              <w:bottom w:val="nil" w:sz="6" w:space="0" w:color="auto"/>
              <w:right w:val="single" w:sz="4" w:space="0" w:color="000000"/>
            </w:tcBorders>
          </w:tcPr>
          <w:p>
            <w:pPr/>
          </w:p>
        </w:tc>
        <w:tc>
          <w:tcPr>
            <w:tcW w:w="878" w:type="dxa"/>
            <w:gridSpan w:val="2"/>
            <w:tcBorders>
              <w:top w:val="single" w:sz="4" w:space="0" w:color="000000"/>
              <w:left w:val="single" w:sz="4" w:space="0" w:color="000000"/>
              <w:bottom w:val="nil" w:sz="6" w:space="0" w:color="auto"/>
              <w:right w:val="single" w:sz="4" w:space="0" w:color="000000"/>
            </w:tcBorders>
          </w:tcPr>
          <w:p>
            <w:pPr/>
          </w:p>
        </w:tc>
        <w:tc>
          <w:tcPr>
            <w:tcW w:w="682" w:type="dxa"/>
            <w:gridSpan w:val="2"/>
            <w:tcBorders>
              <w:top w:val="single" w:sz="4" w:space="0" w:color="000000"/>
              <w:left w:val="single" w:sz="4" w:space="0" w:color="000000"/>
              <w:bottom w:val="nil" w:sz="6" w:space="0" w:color="auto"/>
              <w:right w:val="single" w:sz="4" w:space="0" w:color="000000"/>
            </w:tcBorders>
          </w:tcPr>
          <w:p>
            <w:pPr/>
          </w:p>
        </w:tc>
        <w:tc>
          <w:tcPr>
            <w:tcW w:w="850" w:type="dxa"/>
            <w:gridSpan w:val="2"/>
            <w:tcBorders>
              <w:top w:val="single" w:sz="4" w:space="0" w:color="000000"/>
              <w:left w:val="single" w:sz="4" w:space="0" w:color="000000"/>
              <w:bottom w:val="nil" w:sz="6" w:space="0" w:color="auto"/>
              <w:right w:val="single" w:sz="4" w:space="0" w:color="000000"/>
            </w:tcBorders>
          </w:tcPr>
          <w:p>
            <w:pPr/>
          </w:p>
        </w:tc>
      </w:tr>
      <w:tr>
        <w:trPr>
          <w:trHeight w:val="1363" w:hRule="exact"/>
        </w:trPr>
        <w:tc>
          <w:tcPr>
            <w:tcW w:w="626" w:type="dxa"/>
            <w:tcBorders>
              <w:top w:val="nil" w:sz="6" w:space="0" w:color="auto"/>
              <w:left w:val="single" w:sz="4" w:space="0" w:color="000000"/>
              <w:bottom w:val="nil" w:sz="6" w:space="0" w:color="auto"/>
              <w:right w:val="single" w:sz="4" w:space="0" w:color="000000"/>
            </w:tcBorders>
          </w:tcPr>
          <w:p>
            <w:pPr>
              <w:pStyle w:val="TableParagraph"/>
              <w:spacing w:line="316" w:lineRule="auto" w:before="68"/>
              <w:ind w:left="103" w:right="94"/>
              <w:jc w:val="both"/>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spacing w:val="-33"/>
                <w:sz w:val="18"/>
                <w:szCs w:val="18"/>
              </w:rPr>
              <w:t> </w:t>
            </w:r>
            <w:r>
              <w:rPr>
                <w:rFonts w:ascii="宋体" w:hAnsi="宋体" w:cs="宋体" w:eastAsia="宋体" w:hint="default"/>
                <w:sz w:val="18"/>
                <w:szCs w:val="18"/>
              </w:rPr>
              <w:t>动</w:t>
            </w:r>
            <w:r>
              <w:rPr>
                <w:rFonts w:ascii="宋体" w:hAnsi="宋体" w:cs="宋体" w:eastAsia="宋体" w:hint="default"/>
                <w:sz w:val="18"/>
                <w:szCs w:val="18"/>
              </w:rPr>
              <w:t> 报</w:t>
            </w:r>
            <w:r>
              <w:rPr>
                <w:rFonts w:ascii="宋体" w:hAnsi="宋体" w:cs="宋体" w:eastAsia="宋体" w:hint="default"/>
                <w:spacing w:val="-33"/>
                <w:sz w:val="18"/>
                <w:szCs w:val="18"/>
              </w:rPr>
              <w:t> </w:t>
            </w:r>
            <w:r>
              <w:rPr>
                <w:rFonts w:ascii="宋体" w:hAnsi="宋体" w:cs="宋体" w:eastAsia="宋体" w:hint="default"/>
                <w:sz w:val="18"/>
                <w:szCs w:val="18"/>
              </w:rPr>
              <w:t>告</w:t>
            </w:r>
            <w:r>
              <w:rPr>
                <w:rFonts w:ascii="宋体" w:hAnsi="宋体" w:cs="宋体" w:eastAsia="宋体" w:hint="default"/>
                <w:sz w:val="18"/>
                <w:szCs w:val="18"/>
              </w:rPr>
              <w:t> 书</w:t>
            </w:r>
            <w:r>
              <w:rPr>
                <w:rFonts w:ascii="宋体" w:hAnsi="宋体" w:cs="宋体" w:eastAsia="宋体" w:hint="default"/>
                <w:spacing w:val="-33"/>
                <w:sz w:val="18"/>
                <w:szCs w:val="18"/>
              </w:rPr>
              <w:t> </w:t>
            </w:r>
            <w:r>
              <w:rPr>
                <w:rFonts w:ascii="宋体" w:hAnsi="宋体" w:cs="宋体" w:eastAsia="宋体" w:hint="default"/>
                <w:sz w:val="18"/>
                <w:szCs w:val="18"/>
              </w:rPr>
              <w:t>中</w:t>
            </w:r>
            <w:r>
              <w:rPr>
                <w:rFonts w:ascii="宋体" w:hAnsi="宋体" w:cs="宋体" w:eastAsia="宋体" w:hint="default"/>
                <w:sz w:val="18"/>
                <w:szCs w:val="18"/>
              </w:rPr>
              <w:t> 所</w:t>
            </w:r>
            <w:r>
              <w:rPr>
                <w:rFonts w:ascii="宋体" w:hAnsi="宋体" w:cs="宋体" w:eastAsia="宋体" w:hint="default"/>
                <w:spacing w:val="-33"/>
                <w:sz w:val="18"/>
                <w:szCs w:val="18"/>
              </w:rPr>
              <w:t> </w:t>
            </w:r>
            <w:r>
              <w:rPr>
                <w:rFonts w:ascii="宋体" w:hAnsi="宋体" w:cs="宋体" w:eastAsia="宋体" w:hint="default"/>
                <w:sz w:val="18"/>
                <w:szCs w:val="18"/>
              </w:rPr>
              <w:t>作</w:t>
            </w:r>
          </w:p>
        </w:tc>
        <w:tc>
          <w:tcPr>
            <w:tcW w:w="792"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68"/>
              <w:ind w:left="110" w:right="101"/>
              <w:jc w:val="both"/>
              <w:rPr>
                <w:rFonts w:ascii="宋体" w:hAnsi="宋体" w:cs="宋体" w:eastAsia="宋体" w:hint="default"/>
                <w:sz w:val="18"/>
                <w:szCs w:val="18"/>
              </w:rPr>
            </w:pPr>
            <w:r>
              <w:rPr>
                <w:rFonts w:ascii="宋体" w:hAnsi="宋体" w:cs="宋体" w:eastAsia="宋体" w:hint="default"/>
                <w:spacing w:val="9"/>
                <w:sz w:val="18"/>
                <w:szCs w:val="18"/>
              </w:rPr>
              <w:t>控股股</w:t>
            </w:r>
            <w:r>
              <w:rPr>
                <w:rFonts w:ascii="宋体" w:hAnsi="宋体" w:cs="宋体" w:eastAsia="宋体" w:hint="default"/>
                <w:sz w:val="18"/>
                <w:szCs w:val="18"/>
              </w:rPr>
              <w:t> </w:t>
            </w:r>
            <w:r>
              <w:rPr>
                <w:rFonts w:ascii="宋体" w:hAnsi="宋体" w:cs="宋体" w:eastAsia="宋体" w:hint="default"/>
                <w:spacing w:val="9"/>
                <w:sz w:val="18"/>
                <w:szCs w:val="18"/>
              </w:rPr>
              <w:t>东中兆</w:t>
            </w:r>
            <w:r>
              <w:rPr>
                <w:rFonts w:ascii="宋体" w:hAnsi="宋体" w:cs="宋体" w:eastAsia="宋体" w:hint="default"/>
                <w:sz w:val="18"/>
                <w:szCs w:val="18"/>
              </w:rPr>
              <w:t> </w:t>
            </w:r>
            <w:r>
              <w:rPr>
                <w:rFonts w:ascii="宋体" w:hAnsi="宋体" w:cs="宋体" w:eastAsia="宋体" w:hint="default"/>
                <w:spacing w:val="9"/>
                <w:sz w:val="18"/>
                <w:szCs w:val="18"/>
              </w:rPr>
              <w:t>投资管</w:t>
            </w:r>
            <w:r>
              <w:rPr>
                <w:rFonts w:ascii="宋体" w:hAnsi="宋体" w:cs="宋体" w:eastAsia="宋体" w:hint="default"/>
                <w:sz w:val="18"/>
                <w:szCs w:val="18"/>
              </w:rPr>
              <w:t> </w:t>
            </w:r>
            <w:r>
              <w:rPr>
                <w:rFonts w:ascii="宋体" w:hAnsi="宋体" w:cs="宋体" w:eastAsia="宋体" w:hint="default"/>
                <w:spacing w:val="9"/>
                <w:sz w:val="18"/>
                <w:szCs w:val="18"/>
              </w:rPr>
              <w:t>理有限</w:t>
            </w:r>
          </w:p>
        </w:tc>
        <w:tc>
          <w:tcPr>
            <w:tcW w:w="62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1"/>
              <w:ind w:left="103" w:right="98"/>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35"/>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35"/>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182" w:type="dxa"/>
            <w:gridSpan w:val="3"/>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4、将不通过除公司以外的经营主体在安徽地区新建或收购</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与公司目前在安徽地区经营商品批发市场开发的地产项目，对于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新建或存在收购可能性的上述项目资源，将优先推荐给公司，公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司具有优先选择权。</w:t>
            </w:r>
          </w:p>
          <w:p>
            <w:pPr>
              <w:pStyle w:val="TableParagraph"/>
              <w:spacing w:line="232" w:lineRule="exact" w:before="22"/>
              <w:ind w:left="103" w:right="103" w:firstLine="360"/>
              <w:jc w:val="left"/>
              <w:rPr>
                <w:rFonts w:ascii="宋体" w:hAnsi="宋体" w:cs="宋体" w:eastAsia="宋体" w:hint="default"/>
                <w:sz w:val="18"/>
                <w:szCs w:val="18"/>
              </w:rPr>
            </w:pPr>
            <w:r>
              <w:rPr>
                <w:rFonts w:ascii="宋体" w:hAnsi="宋体" w:cs="宋体" w:eastAsia="宋体" w:hint="default"/>
                <w:sz w:val="18"/>
                <w:szCs w:val="18"/>
              </w:rPr>
              <w:t>5、以公平、公开、公正的形式、通过合法程序解决存在的 同业竞争问题，且不会损害公司及其中小股东的利益。</w:t>
            </w:r>
          </w:p>
        </w:tc>
        <w:tc>
          <w:tcPr>
            <w:tcW w:w="87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32"/>
                <w:sz w:val="18"/>
                <w:szCs w:val="18"/>
              </w:rPr>
              <w:t> </w:t>
            </w:r>
            <w:r>
              <w:rPr>
                <w:rFonts w:ascii="宋体" w:hAnsi="宋体" w:cs="宋体" w:eastAsia="宋体" w:hint="default"/>
                <w:spacing w:val="-3"/>
                <w:sz w:val="18"/>
                <w:szCs w:val="18"/>
              </w:rPr>
              <w:t>年9</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8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3" w:right="98"/>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42"/>
                <w:sz w:val="18"/>
                <w:szCs w:val="18"/>
              </w:rPr>
              <w:t> </w:t>
            </w:r>
            <w:r>
              <w:rPr>
                <w:rFonts w:ascii="宋体" w:hAnsi="宋体" w:cs="宋体" w:eastAsia="宋体" w:hint="default"/>
                <w:sz w:val="18"/>
                <w:szCs w:val="18"/>
              </w:rPr>
              <w:t>守</w:t>
            </w:r>
            <w:r>
              <w:rPr>
                <w:rFonts w:ascii="宋体" w:hAnsi="宋体" w:cs="宋体" w:eastAsia="宋体" w:hint="default"/>
                <w:spacing w:val="-42"/>
                <w:sz w:val="18"/>
                <w:szCs w:val="18"/>
              </w:rPr>
              <w:t> </w:t>
            </w:r>
            <w:r>
              <w:rPr>
                <w:rFonts w:ascii="宋体" w:hAnsi="宋体" w:cs="宋体" w:eastAsia="宋体" w:hint="default"/>
                <w:sz w:val="18"/>
                <w:szCs w:val="18"/>
              </w:rPr>
              <w:t>了</w:t>
            </w:r>
            <w:r>
              <w:rPr>
                <w:rFonts w:ascii="宋体" w:hAnsi="宋体" w:cs="宋体" w:eastAsia="宋体" w:hint="default"/>
                <w:sz w:val="18"/>
                <w:szCs w:val="18"/>
              </w:rPr>
              <w:t> 承诺。</w:t>
            </w:r>
          </w:p>
        </w:tc>
      </w:tr>
      <w:tr>
        <w:trPr>
          <w:trHeight w:val="381" w:hRule="exact"/>
        </w:trPr>
        <w:tc>
          <w:tcPr>
            <w:tcW w:w="626"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92" w:type="dxa"/>
            <w:gridSpan w:val="2"/>
            <w:tcBorders>
              <w:top w:val="nil" w:sz="6" w:space="0" w:color="auto"/>
              <w:left w:val="single" w:sz="4" w:space="0" w:color="000000"/>
              <w:bottom w:val="single" w:sz="4" w:space="0" w:color="000000"/>
              <w:right w:val="single" w:sz="4" w:space="0" w:color="000000"/>
            </w:tcBorders>
          </w:tcPr>
          <w:p>
            <w:pPr>
              <w:pStyle w:val="TableParagraph"/>
              <w:spacing w:line="188" w:lineRule="exact"/>
              <w:ind w:left="11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9" w:type="dxa"/>
            <w:gridSpan w:val="2"/>
            <w:tcBorders>
              <w:top w:val="nil" w:sz="6" w:space="0" w:color="auto"/>
              <w:left w:val="single" w:sz="4" w:space="0" w:color="000000"/>
              <w:bottom w:val="single" w:sz="4" w:space="0" w:color="000000"/>
              <w:right w:val="single" w:sz="4" w:space="0" w:color="000000"/>
            </w:tcBorders>
          </w:tcPr>
          <w:p>
            <w:pPr/>
          </w:p>
        </w:tc>
        <w:tc>
          <w:tcPr>
            <w:tcW w:w="5182" w:type="dxa"/>
            <w:gridSpan w:val="3"/>
            <w:tcBorders>
              <w:top w:val="nil" w:sz="6" w:space="0" w:color="auto"/>
              <w:left w:val="single" w:sz="4" w:space="0" w:color="000000"/>
              <w:bottom w:val="single" w:sz="4" w:space="0" w:color="000000"/>
              <w:right w:val="single" w:sz="4" w:space="0" w:color="000000"/>
            </w:tcBorders>
          </w:tcPr>
          <w:p>
            <w:pPr/>
          </w:p>
        </w:tc>
        <w:tc>
          <w:tcPr>
            <w:tcW w:w="878" w:type="dxa"/>
            <w:gridSpan w:val="2"/>
            <w:tcBorders>
              <w:top w:val="nil" w:sz="6" w:space="0" w:color="auto"/>
              <w:left w:val="single" w:sz="4" w:space="0" w:color="000000"/>
              <w:bottom w:val="single" w:sz="4" w:space="0" w:color="000000"/>
              <w:right w:val="single" w:sz="4" w:space="0" w:color="000000"/>
            </w:tcBorders>
          </w:tcPr>
          <w:p>
            <w:pPr/>
          </w:p>
        </w:tc>
        <w:tc>
          <w:tcPr>
            <w:tcW w:w="682" w:type="dxa"/>
            <w:gridSpan w:val="2"/>
            <w:tcBorders>
              <w:top w:val="nil" w:sz="6" w:space="0" w:color="auto"/>
              <w:left w:val="single" w:sz="4" w:space="0" w:color="000000"/>
              <w:bottom w:val="single" w:sz="4" w:space="0" w:color="000000"/>
              <w:right w:val="single" w:sz="4" w:space="0" w:color="000000"/>
            </w:tcBorders>
          </w:tcPr>
          <w:p>
            <w:pPr/>
          </w:p>
        </w:tc>
        <w:tc>
          <w:tcPr>
            <w:tcW w:w="850" w:type="dxa"/>
            <w:gridSpan w:val="2"/>
            <w:tcBorders>
              <w:top w:val="nil" w:sz="6" w:space="0" w:color="auto"/>
              <w:left w:val="single" w:sz="4" w:space="0" w:color="000000"/>
              <w:bottom w:val="single" w:sz="4" w:space="0" w:color="000000"/>
              <w:right w:val="single" w:sz="4" w:space="0" w:color="000000"/>
            </w:tcBorders>
          </w:tcPr>
          <w:p>
            <w:pPr/>
          </w:p>
        </w:tc>
      </w:tr>
      <w:tr>
        <w:trPr>
          <w:trHeight w:val="295" w:hRule="exact"/>
        </w:trPr>
        <w:tc>
          <w:tcPr>
            <w:tcW w:w="9638" w:type="dxa"/>
            <w:gridSpan w:val="14"/>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103" w:right="367"/>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136" w:right="165"/>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103" w:right="40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105" w:right="20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1"/>
              <w:ind w:left="103" w:right="98"/>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42"/>
                <w:sz w:val="18"/>
                <w:szCs w:val="18"/>
              </w:rPr>
              <w:t> </w:t>
            </w:r>
            <w:r>
              <w:rPr>
                <w:rFonts w:ascii="宋体" w:hAnsi="宋体" w:cs="宋体" w:eastAsia="宋体" w:hint="default"/>
                <w:sz w:val="18"/>
                <w:szCs w:val="18"/>
              </w:rPr>
              <w:t>行</w:t>
            </w:r>
            <w:r>
              <w:rPr>
                <w:rFonts w:ascii="宋体" w:hAnsi="宋体" w:cs="宋体" w:eastAsia="宋体" w:hint="default"/>
                <w:spacing w:val="-42"/>
                <w:sz w:val="18"/>
                <w:szCs w:val="18"/>
              </w:rPr>
              <w:t> </w:t>
            </w:r>
            <w:r>
              <w:rPr>
                <w:rFonts w:ascii="宋体" w:hAnsi="宋体" w:cs="宋体" w:eastAsia="宋体" w:hint="default"/>
                <w:sz w:val="18"/>
                <w:szCs w:val="18"/>
              </w:rPr>
              <w:t>情</w:t>
            </w:r>
            <w:r>
              <w:rPr>
                <w:rFonts w:ascii="宋体" w:hAnsi="宋体" w:cs="宋体" w:eastAsia="宋体" w:hint="default"/>
                <w:sz w:val="18"/>
                <w:szCs w:val="18"/>
              </w:rPr>
              <w:t> 况</w:t>
            </w:r>
          </w:p>
        </w:tc>
      </w:tr>
      <w:tr>
        <w:trPr>
          <w:trHeight w:val="274" w:hRule="exact"/>
        </w:trPr>
        <w:tc>
          <w:tcPr>
            <w:tcW w:w="842" w:type="dxa"/>
            <w:gridSpan w:val="2"/>
            <w:tcBorders>
              <w:top w:val="single" w:sz="4" w:space="0" w:color="000000"/>
              <w:left w:val="single" w:sz="4" w:space="0" w:color="000000"/>
              <w:bottom w:val="nil" w:sz="6" w:space="0" w:color="auto"/>
              <w:right w:val="single" w:sz="4" w:space="0" w:color="000000"/>
            </w:tcBorders>
          </w:tcPr>
          <w:p>
            <w:pPr/>
          </w:p>
        </w:tc>
        <w:tc>
          <w:tcPr>
            <w:tcW w:w="751" w:type="dxa"/>
            <w:gridSpan w:val="2"/>
            <w:tcBorders>
              <w:top w:val="single" w:sz="4" w:space="0" w:color="000000"/>
              <w:left w:val="single" w:sz="4" w:space="0" w:color="000000"/>
              <w:bottom w:val="nil" w:sz="6" w:space="0" w:color="auto"/>
              <w:right w:val="single" w:sz="4" w:space="0" w:color="000000"/>
            </w:tcBorders>
          </w:tcPr>
          <w:p>
            <w:pPr/>
          </w:p>
        </w:tc>
        <w:tc>
          <w:tcPr>
            <w:tcW w:w="674" w:type="dxa"/>
            <w:gridSpan w:val="3"/>
            <w:tcBorders>
              <w:top w:val="single" w:sz="4" w:space="0" w:color="000000"/>
              <w:left w:val="single" w:sz="4" w:space="0" w:color="000000"/>
              <w:bottom w:val="nil" w:sz="6" w:space="0" w:color="auto"/>
              <w:right w:val="single" w:sz="4" w:space="0" w:color="000000"/>
            </w:tcBorders>
          </w:tcPr>
          <w:p>
            <w:pPr/>
          </w:p>
        </w:tc>
        <w:tc>
          <w:tcPr>
            <w:tcW w:w="49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宋体" w:hAnsi="宋体" w:cs="宋体" w:eastAsia="宋体" w:hint="default"/>
                <w:sz w:val="18"/>
                <w:szCs w:val="18"/>
              </w:rPr>
            </w:pPr>
            <w:r>
              <w:rPr>
                <w:rFonts w:ascii="宋体" w:hAnsi="宋体" w:cs="宋体" w:eastAsia="宋体" w:hint="default"/>
                <w:spacing w:val="-2"/>
                <w:sz w:val="18"/>
                <w:szCs w:val="18"/>
              </w:rPr>
              <w:t>1、避免同业竞争承诺：在公司经营区域内，不再新建或</w:t>
            </w:r>
          </w:p>
        </w:tc>
        <w:tc>
          <w:tcPr>
            <w:tcW w:w="878" w:type="dxa"/>
            <w:gridSpan w:val="2"/>
            <w:tcBorders>
              <w:top w:val="single" w:sz="4" w:space="0" w:color="000000"/>
              <w:left w:val="single" w:sz="4" w:space="0" w:color="000000"/>
              <w:bottom w:val="nil" w:sz="6" w:space="0" w:color="auto"/>
              <w:right w:val="single" w:sz="4" w:space="0" w:color="000000"/>
            </w:tcBorders>
          </w:tcPr>
          <w:p>
            <w:pPr/>
          </w:p>
        </w:tc>
        <w:tc>
          <w:tcPr>
            <w:tcW w:w="682" w:type="dxa"/>
            <w:gridSpan w:val="2"/>
            <w:tcBorders>
              <w:top w:val="single" w:sz="4" w:space="0" w:color="000000"/>
              <w:left w:val="single" w:sz="4" w:space="0" w:color="000000"/>
              <w:bottom w:val="nil" w:sz="6" w:space="0" w:color="auto"/>
              <w:right w:val="single" w:sz="4" w:space="0" w:color="000000"/>
            </w:tcBorders>
          </w:tcPr>
          <w:p>
            <w:pPr/>
          </w:p>
        </w:tc>
        <w:tc>
          <w:tcPr>
            <w:tcW w:w="850" w:type="dxa"/>
            <w:gridSpan w:val="2"/>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842" w:type="dxa"/>
            <w:gridSpan w:val="2"/>
            <w:tcBorders>
              <w:top w:val="nil" w:sz="6" w:space="0" w:color="auto"/>
              <w:left w:val="single" w:sz="4" w:space="0" w:color="000000"/>
              <w:bottom w:val="nil" w:sz="6" w:space="0" w:color="auto"/>
              <w:right w:val="single" w:sz="4" w:space="0" w:color="000000"/>
            </w:tcBorders>
          </w:tcPr>
          <w:p>
            <w:pPr/>
          </w:p>
        </w:tc>
        <w:tc>
          <w:tcPr>
            <w:tcW w:w="751" w:type="dxa"/>
            <w:gridSpan w:val="2"/>
            <w:tcBorders>
              <w:top w:val="nil" w:sz="6" w:space="0" w:color="auto"/>
              <w:left w:val="single" w:sz="4" w:space="0" w:color="000000"/>
              <w:bottom w:val="nil" w:sz="6" w:space="0" w:color="auto"/>
              <w:right w:val="single" w:sz="4" w:space="0" w:color="000000"/>
            </w:tcBorders>
          </w:tcPr>
          <w:p>
            <w:pPr/>
          </w:p>
        </w:tc>
        <w:tc>
          <w:tcPr>
            <w:tcW w:w="674" w:type="dxa"/>
            <w:gridSpan w:val="3"/>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pacing w:val="2"/>
                <w:w w:val="95"/>
                <w:sz w:val="18"/>
                <w:szCs w:val="18"/>
              </w:rPr>
              <w:t>收购与其相同或类似的资产和业务，若未来公司经营区域内</w:t>
            </w:r>
          </w:p>
        </w:tc>
        <w:tc>
          <w:tcPr>
            <w:tcW w:w="878" w:type="dxa"/>
            <w:gridSpan w:val="2"/>
            <w:tcBorders>
              <w:top w:val="nil" w:sz="6" w:space="0" w:color="auto"/>
              <w:left w:val="single" w:sz="4" w:space="0" w:color="000000"/>
              <w:bottom w:val="nil" w:sz="6" w:space="0" w:color="auto"/>
              <w:right w:val="single" w:sz="4" w:space="0" w:color="000000"/>
            </w:tcBorders>
          </w:tcPr>
          <w:p>
            <w:pPr/>
          </w:p>
        </w:tc>
        <w:tc>
          <w:tcPr>
            <w:tcW w:w="682" w:type="dxa"/>
            <w:gridSpan w:val="2"/>
            <w:tcBorders>
              <w:top w:val="nil" w:sz="6" w:space="0" w:color="auto"/>
              <w:left w:val="single" w:sz="4" w:space="0" w:color="000000"/>
              <w:bottom w:val="nil" w:sz="6" w:space="0" w:color="auto"/>
              <w:right w:val="single" w:sz="4" w:space="0" w:color="000000"/>
            </w:tcBorders>
          </w:tcPr>
          <w:p>
            <w:pPr/>
          </w:p>
        </w:tc>
        <w:tc>
          <w:tcPr>
            <w:tcW w:w="850" w:type="dxa"/>
            <w:gridSpan w:val="2"/>
            <w:tcBorders>
              <w:top w:val="nil" w:sz="6" w:space="0" w:color="auto"/>
              <w:left w:val="single" w:sz="4" w:space="0" w:color="000000"/>
              <w:bottom w:val="nil" w:sz="6" w:space="0" w:color="auto"/>
              <w:right w:val="single" w:sz="4" w:space="0" w:color="000000"/>
            </w:tcBorders>
          </w:tcPr>
          <w:p>
            <w:pPr/>
          </w:p>
        </w:tc>
      </w:tr>
      <w:tr>
        <w:trPr>
          <w:trHeight w:val="233" w:hRule="exact"/>
        </w:trPr>
        <w:tc>
          <w:tcPr>
            <w:tcW w:w="842" w:type="dxa"/>
            <w:gridSpan w:val="2"/>
            <w:tcBorders>
              <w:top w:val="nil" w:sz="6" w:space="0" w:color="auto"/>
              <w:left w:val="single" w:sz="4" w:space="0" w:color="000000"/>
              <w:bottom w:val="nil" w:sz="6" w:space="0" w:color="auto"/>
              <w:right w:val="single" w:sz="4" w:space="0" w:color="000000"/>
            </w:tcBorders>
          </w:tcPr>
          <w:p>
            <w:pPr/>
          </w:p>
        </w:tc>
        <w:tc>
          <w:tcPr>
            <w:tcW w:w="751" w:type="dxa"/>
            <w:gridSpan w:val="2"/>
            <w:tcBorders>
              <w:top w:val="nil" w:sz="6" w:space="0" w:color="auto"/>
              <w:left w:val="single" w:sz="4" w:space="0" w:color="000000"/>
              <w:bottom w:val="nil" w:sz="6" w:space="0" w:color="auto"/>
              <w:right w:val="single" w:sz="4" w:space="0" w:color="000000"/>
            </w:tcBorders>
          </w:tcPr>
          <w:p>
            <w:pPr/>
          </w:p>
        </w:tc>
        <w:tc>
          <w:tcPr>
            <w:tcW w:w="674" w:type="dxa"/>
            <w:gridSpan w:val="3"/>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hAnsi="宋体" w:cs="宋体" w:eastAsia="宋体" w:hint="default"/>
                <w:spacing w:val="-1"/>
                <w:sz w:val="18"/>
                <w:szCs w:val="18"/>
              </w:rPr>
              <w:t>存在与其经营业务相同或类似的商业机会，中兆投资(控制人</w:t>
            </w:r>
          </w:p>
        </w:tc>
        <w:tc>
          <w:tcPr>
            <w:tcW w:w="878" w:type="dxa"/>
            <w:gridSpan w:val="2"/>
            <w:tcBorders>
              <w:top w:val="nil" w:sz="6" w:space="0" w:color="auto"/>
              <w:left w:val="single" w:sz="4" w:space="0" w:color="000000"/>
              <w:bottom w:val="nil" w:sz="6" w:space="0" w:color="auto"/>
              <w:right w:val="single" w:sz="4" w:space="0" w:color="000000"/>
            </w:tcBorders>
          </w:tcPr>
          <w:p>
            <w:pPr/>
          </w:p>
        </w:tc>
        <w:tc>
          <w:tcPr>
            <w:tcW w:w="682" w:type="dxa"/>
            <w:gridSpan w:val="2"/>
            <w:tcBorders>
              <w:top w:val="nil" w:sz="6" w:space="0" w:color="auto"/>
              <w:left w:val="single" w:sz="4" w:space="0" w:color="000000"/>
              <w:bottom w:val="nil" w:sz="6" w:space="0" w:color="auto"/>
              <w:right w:val="single" w:sz="4" w:space="0" w:color="000000"/>
            </w:tcBorders>
          </w:tcPr>
          <w:p>
            <w:pPr/>
          </w:p>
        </w:tc>
        <w:tc>
          <w:tcPr>
            <w:tcW w:w="850" w:type="dxa"/>
            <w:gridSpan w:val="2"/>
            <w:tcBorders>
              <w:top w:val="nil" w:sz="6" w:space="0" w:color="auto"/>
              <w:left w:val="single" w:sz="4" w:space="0" w:color="000000"/>
              <w:bottom w:val="nil" w:sz="6" w:space="0" w:color="auto"/>
              <w:right w:val="single" w:sz="4" w:space="0" w:color="000000"/>
            </w:tcBorders>
          </w:tcPr>
          <w:p>
            <w:pPr/>
          </w:p>
        </w:tc>
      </w:tr>
      <w:tr>
        <w:trPr>
          <w:trHeight w:val="251" w:hRule="exact"/>
        </w:trPr>
        <w:tc>
          <w:tcPr>
            <w:tcW w:w="842" w:type="dxa"/>
            <w:gridSpan w:val="2"/>
            <w:tcBorders>
              <w:top w:val="nil" w:sz="6" w:space="0" w:color="auto"/>
              <w:left w:val="single" w:sz="4" w:space="0" w:color="000000"/>
              <w:bottom w:val="nil" w:sz="6" w:space="0" w:color="auto"/>
              <w:right w:val="single" w:sz="4" w:space="0" w:color="000000"/>
            </w:tcBorders>
          </w:tcPr>
          <w:p>
            <w:pPr/>
          </w:p>
        </w:tc>
        <w:tc>
          <w:tcPr>
            <w:tcW w:w="7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9"/>
                <w:sz w:val="18"/>
                <w:szCs w:val="18"/>
              </w:rPr>
              <w:t>中兆投</w:t>
            </w:r>
          </w:p>
        </w:tc>
        <w:tc>
          <w:tcPr>
            <w:tcW w:w="674" w:type="dxa"/>
            <w:gridSpan w:val="3"/>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本人)将优先推荐给本公司，本公司具有优先选择权。</w:t>
            </w:r>
          </w:p>
        </w:tc>
        <w:tc>
          <w:tcPr>
            <w:tcW w:w="878" w:type="dxa"/>
            <w:gridSpan w:val="2"/>
            <w:tcBorders>
              <w:top w:val="nil" w:sz="6" w:space="0" w:color="auto"/>
              <w:left w:val="single" w:sz="4" w:space="0" w:color="000000"/>
              <w:bottom w:val="nil" w:sz="6" w:space="0" w:color="auto"/>
              <w:right w:val="single" w:sz="4" w:space="0" w:color="000000"/>
            </w:tcBorders>
          </w:tcPr>
          <w:p>
            <w:pPr/>
          </w:p>
        </w:tc>
        <w:tc>
          <w:tcPr>
            <w:tcW w:w="682" w:type="dxa"/>
            <w:gridSpan w:val="2"/>
            <w:tcBorders>
              <w:top w:val="nil" w:sz="6" w:space="0" w:color="auto"/>
              <w:left w:val="single" w:sz="4" w:space="0" w:color="000000"/>
              <w:bottom w:val="nil" w:sz="6" w:space="0" w:color="auto"/>
              <w:right w:val="single" w:sz="4" w:space="0" w:color="000000"/>
            </w:tcBorders>
          </w:tcPr>
          <w:p>
            <w:pPr/>
          </w:p>
        </w:tc>
        <w:tc>
          <w:tcPr>
            <w:tcW w:w="850" w:type="dxa"/>
            <w:gridSpan w:val="2"/>
            <w:tcBorders>
              <w:top w:val="nil" w:sz="6" w:space="0" w:color="auto"/>
              <w:left w:val="single" w:sz="4" w:space="0" w:color="000000"/>
              <w:bottom w:val="nil" w:sz="6" w:space="0" w:color="auto"/>
              <w:right w:val="single" w:sz="4" w:space="0" w:color="000000"/>
            </w:tcBorders>
          </w:tcPr>
          <w:p>
            <w:pPr/>
          </w:p>
        </w:tc>
      </w:tr>
      <w:tr>
        <w:trPr>
          <w:trHeight w:val="1364" w:hRule="exact"/>
        </w:trPr>
        <w:tc>
          <w:tcPr>
            <w:tcW w:w="84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103"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
                <w:sz w:val="18"/>
                <w:szCs w:val="18"/>
              </w:rPr>
              <w:t> </w:t>
            </w:r>
            <w:r>
              <w:rPr>
                <w:rFonts w:ascii="宋体" w:hAnsi="宋体" w:cs="宋体" w:eastAsia="宋体" w:hint="default"/>
                <w:sz w:val="18"/>
                <w:szCs w:val="18"/>
              </w:rPr>
              <w:t>年</w:t>
            </w:r>
          </w:p>
          <w:p>
            <w:pPr>
              <w:pStyle w:val="TableParagraph"/>
              <w:spacing w:line="316" w:lineRule="auto" w:before="76"/>
              <w:ind w:left="103" w:right="101"/>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7"/>
                <w:sz w:val="18"/>
                <w:szCs w:val="18"/>
              </w:rPr>
              <w:t> </w:t>
            </w:r>
            <w:r>
              <w:rPr>
                <w:rFonts w:ascii="宋体" w:hAnsi="宋体" w:cs="宋体" w:eastAsia="宋体" w:hint="default"/>
                <w:sz w:val="18"/>
                <w:szCs w:val="18"/>
              </w:rPr>
              <w:t>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pacing w:val="-47"/>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c>
          <w:tcPr>
            <w:tcW w:w="751"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68"/>
              <w:ind w:left="103" w:right="67"/>
              <w:jc w:val="both"/>
              <w:rPr>
                <w:rFonts w:ascii="宋体" w:hAnsi="宋体" w:cs="宋体" w:eastAsia="宋体" w:hint="default"/>
                <w:sz w:val="18"/>
                <w:szCs w:val="18"/>
              </w:rPr>
            </w:pPr>
            <w:r>
              <w:rPr>
                <w:rFonts w:ascii="宋体" w:hAnsi="宋体" w:cs="宋体" w:eastAsia="宋体" w:hint="default"/>
                <w:spacing w:val="9"/>
                <w:sz w:val="18"/>
                <w:szCs w:val="18"/>
              </w:rPr>
              <w:t>资及公</w:t>
            </w:r>
            <w:r>
              <w:rPr>
                <w:rFonts w:ascii="宋体" w:hAnsi="宋体" w:cs="宋体" w:eastAsia="宋体" w:hint="default"/>
                <w:sz w:val="18"/>
                <w:szCs w:val="18"/>
              </w:rPr>
              <w:t> </w:t>
            </w:r>
            <w:r>
              <w:rPr>
                <w:rFonts w:ascii="宋体" w:hAnsi="宋体" w:cs="宋体" w:eastAsia="宋体" w:hint="default"/>
                <w:spacing w:val="9"/>
                <w:sz w:val="18"/>
                <w:szCs w:val="18"/>
              </w:rPr>
              <w:t>司原实</w:t>
            </w:r>
            <w:r>
              <w:rPr>
                <w:rFonts w:ascii="宋体" w:hAnsi="宋体" w:cs="宋体" w:eastAsia="宋体" w:hint="default"/>
                <w:sz w:val="18"/>
                <w:szCs w:val="18"/>
              </w:rPr>
              <w:t> </w:t>
            </w:r>
            <w:r>
              <w:rPr>
                <w:rFonts w:ascii="宋体" w:hAnsi="宋体" w:cs="宋体" w:eastAsia="宋体" w:hint="default"/>
                <w:spacing w:val="9"/>
                <w:sz w:val="18"/>
                <w:szCs w:val="18"/>
              </w:rPr>
              <w:t>际控制</w:t>
            </w:r>
            <w:r>
              <w:rPr>
                <w:rFonts w:ascii="宋体" w:hAnsi="宋体" w:cs="宋体" w:eastAsia="宋体" w:hint="default"/>
                <w:sz w:val="18"/>
                <w:szCs w:val="18"/>
              </w:rPr>
              <w:t> </w:t>
            </w:r>
            <w:r>
              <w:rPr>
                <w:rFonts w:ascii="宋体" w:hAnsi="宋体" w:cs="宋体" w:eastAsia="宋体" w:hint="default"/>
                <w:spacing w:val="9"/>
                <w:sz w:val="18"/>
                <w:szCs w:val="18"/>
              </w:rPr>
              <w:t>人黄茂</w:t>
            </w:r>
          </w:p>
        </w:tc>
        <w:tc>
          <w:tcPr>
            <w:tcW w:w="674"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37" w:lineRule="auto"/>
              <w:ind w:left="136" w:right="101"/>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26"/>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26"/>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2、规范关联交易承诺：(1)</w:t>
            </w:r>
            <w:r>
              <w:rPr>
                <w:rFonts w:ascii="宋体" w:hAnsi="宋体" w:cs="宋体" w:eastAsia="宋体" w:hint="default"/>
                <w:spacing w:val="-27"/>
                <w:sz w:val="18"/>
                <w:szCs w:val="18"/>
              </w:rPr>
              <w:t> </w:t>
            </w:r>
            <w:r>
              <w:rPr>
                <w:rFonts w:ascii="宋体" w:hAnsi="宋体" w:cs="宋体" w:eastAsia="宋体" w:hint="default"/>
                <w:sz w:val="18"/>
                <w:szCs w:val="18"/>
              </w:rPr>
              <w:t>不利用自身对公司的大股东</w:t>
            </w:r>
          </w:p>
          <w:p>
            <w:pPr>
              <w:pStyle w:val="TableParagraph"/>
              <w:spacing w:line="237" w:lineRule="auto" w:before="2"/>
              <w:ind w:left="103" w:right="98"/>
              <w:jc w:val="both"/>
              <w:rPr>
                <w:rFonts w:ascii="宋体" w:hAnsi="宋体" w:cs="宋体" w:eastAsia="宋体" w:hint="default"/>
                <w:sz w:val="18"/>
                <w:szCs w:val="18"/>
              </w:rPr>
            </w:pPr>
            <w:r>
              <w:rPr>
                <w:rFonts w:ascii="宋体" w:hAnsi="宋体" w:cs="宋体" w:eastAsia="宋体" w:hint="default"/>
                <w:spacing w:val="2"/>
                <w:sz w:val="18"/>
                <w:szCs w:val="18"/>
              </w:rPr>
              <w:t>地位及控制性影响谋求本公司及其子公司在业务合作等方面</w:t>
            </w:r>
            <w:r>
              <w:rPr>
                <w:rFonts w:ascii="宋体" w:hAnsi="宋体" w:cs="宋体" w:eastAsia="宋体" w:hint="default"/>
                <w:sz w:val="18"/>
                <w:szCs w:val="18"/>
              </w:rPr>
              <w:t> 优于市场第三方的权利、优先达成交易的权利；(2)</w:t>
            </w:r>
            <w:r>
              <w:rPr>
                <w:rFonts w:ascii="宋体" w:hAnsi="宋体" w:cs="宋体" w:eastAsia="宋体" w:hint="default"/>
                <w:spacing w:val="45"/>
                <w:sz w:val="18"/>
                <w:szCs w:val="18"/>
              </w:rPr>
              <w:t> </w:t>
            </w:r>
            <w:r>
              <w:rPr>
                <w:rFonts w:ascii="宋体" w:hAnsi="宋体" w:cs="宋体" w:eastAsia="宋体" w:hint="default"/>
                <w:sz w:val="18"/>
                <w:szCs w:val="18"/>
              </w:rPr>
              <w:t>不以低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于[如本公司为买方则“不以高于”]市场价格的条件与本公</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司及其子公司进行交易，亦不利用该类交易从事任何损害上</w:t>
            </w:r>
            <w:r>
              <w:rPr>
                <w:rFonts w:ascii="宋体" w:hAnsi="宋体" w:cs="宋体" w:eastAsia="宋体" w:hint="default"/>
                <w:sz w:val="18"/>
                <w:szCs w:val="18"/>
              </w:rPr>
              <w:t> 市公司及其子公司利益的行为；(3)</w:t>
            </w:r>
            <w:r>
              <w:rPr>
                <w:rFonts w:ascii="宋体" w:hAnsi="宋体" w:cs="宋体" w:eastAsia="宋体" w:hint="default"/>
                <w:spacing w:val="53"/>
                <w:sz w:val="18"/>
                <w:szCs w:val="18"/>
              </w:rPr>
              <w:t> </w:t>
            </w:r>
            <w:r>
              <w:rPr>
                <w:rFonts w:ascii="宋体" w:hAnsi="宋体" w:cs="宋体" w:eastAsia="宋体" w:hint="default"/>
                <w:sz w:val="18"/>
                <w:szCs w:val="18"/>
              </w:rPr>
              <w:t>对于无法避免或有合理</w:t>
            </w:r>
          </w:p>
        </w:tc>
        <w:tc>
          <w:tcPr>
            <w:tcW w:w="87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 月</w:t>
            </w:r>
            <w:r>
              <w:rPr>
                <w:rFonts w:ascii="宋体" w:hAnsi="宋体" w:cs="宋体" w:eastAsia="宋体" w:hint="default"/>
                <w:spacing w:val="-56"/>
                <w:sz w:val="18"/>
                <w:szCs w:val="18"/>
              </w:rPr>
              <w:t> </w:t>
            </w:r>
            <w:r>
              <w:rPr>
                <w:rFonts w:ascii="宋体" w:hAnsi="宋体" w:cs="宋体" w:eastAsia="宋体" w:hint="default"/>
                <w:sz w:val="18"/>
                <w:szCs w:val="18"/>
              </w:rPr>
              <w:t>10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42"/>
                <w:sz w:val="18"/>
                <w:szCs w:val="18"/>
              </w:rPr>
              <w:t> </w:t>
            </w:r>
            <w:r>
              <w:rPr>
                <w:rFonts w:ascii="宋体" w:hAnsi="宋体" w:cs="宋体" w:eastAsia="宋体" w:hint="default"/>
                <w:sz w:val="18"/>
                <w:szCs w:val="18"/>
              </w:rPr>
              <w:t>守</w:t>
            </w:r>
            <w:r>
              <w:rPr>
                <w:rFonts w:ascii="宋体" w:hAnsi="宋体" w:cs="宋体" w:eastAsia="宋体" w:hint="default"/>
                <w:spacing w:val="-42"/>
                <w:sz w:val="18"/>
                <w:szCs w:val="18"/>
              </w:rPr>
              <w:t> </w:t>
            </w:r>
            <w:r>
              <w:rPr>
                <w:rFonts w:ascii="宋体" w:hAnsi="宋体" w:cs="宋体" w:eastAsia="宋体" w:hint="default"/>
                <w:sz w:val="18"/>
                <w:szCs w:val="18"/>
              </w:rPr>
              <w:t>了</w:t>
            </w:r>
            <w:r>
              <w:rPr>
                <w:rFonts w:ascii="宋体" w:hAnsi="宋体" w:cs="宋体" w:eastAsia="宋体" w:hint="default"/>
                <w:sz w:val="18"/>
                <w:szCs w:val="18"/>
              </w:rPr>
              <w:t> 承诺。</w:t>
            </w:r>
          </w:p>
        </w:tc>
      </w:tr>
      <w:tr>
        <w:trPr>
          <w:trHeight w:val="252" w:hRule="exact"/>
        </w:trPr>
        <w:tc>
          <w:tcPr>
            <w:tcW w:w="842" w:type="dxa"/>
            <w:gridSpan w:val="2"/>
            <w:tcBorders>
              <w:top w:val="nil" w:sz="6" w:space="0" w:color="auto"/>
              <w:left w:val="single" w:sz="4" w:space="0" w:color="000000"/>
              <w:bottom w:val="nil" w:sz="6" w:space="0" w:color="auto"/>
              <w:right w:val="single" w:sz="4" w:space="0" w:color="000000"/>
            </w:tcBorders>
          </w:tcPr>
          <w:p>
            <w:pPr/>
          </w:p>
        </w:tc>
        <w:tc>
          <w:tcPr>
            <w:tcW w:w="751" w:type="dxa"/>
            <w:gridSpan w:val="2"/>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如先生</w:t>
            </w:r>
          </w:p>
        </w:tc>
        <w:tc>
          <w:tcPr>
            <w:tcW w:w="674" w:type="dxa"/>
            <w:gridSpan w:val="3"/>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hAnsi="宋体" w:cs="宋体" w:eastAsia="宋体" w:hint="default"/>
                <w:spacing w:val="2"/>
                <w:w w:val="95"/>
                <w:sz w:val="18"/>
                <w:szCs w:val="18"/>
              </w:rPr>
              <w:t>理由存在的关联交易，将依法合规签订协议，履行批准程序</w:t>
            </w:r>
          </w:p>
        </w:tc>
        <w:tc>
          <w:tcPr>
            <w:tcW w:w="878" w:type="dxa"/>
            <w:gridSpan w:val="2"/>
            <w:tcBorders>
              <w:top w:val="nil" w:sz="6" w:space="0" w:color="auto"/>
              <w:left w:val="single" w:sz="4" w:space="0" w:color="000000"/>
              <w:bottom w:val="nil" w:sz="6" w:space="0" w:color="auto"/>
              <w:right w:val="single" w:sz="4" w:space="0" w:color="000000"/>
            </w:tcBorders>
          </w:tcPr>
          <w:p>
            <w:pPr/>
          </w:p>
        </w:tc>
        <w:tc>
          <w:tcPr>
            <w:tcW w:w="682" w:type="dxa"/>
            <w:gridSpan w:val="2"/>
            <w:tcBorders>
              <w:top w:val="nil" w:sz="6" w:space="0" w:color="auto"/>
              <w:left w:val="single" w:sz="4" w:space="0" w:color="000000"/>
              <w:bottom w:val="nil" w:sz="6" w:space="0" w:color="auto"/>
              <w:right w:val="single" w:sz="4" w:space="0" w:color="000000"/>
            </w:tcBorders>
          </w:tcPr>
          <w:p>
            <w:pPr/>
          </w:p>
        </w:tc>
        <w:tc>
          <w:tcPr>
            <w:tcW w:w="850" w:type="dxa"/>
            <w:gridSpan w:val="2"/>
            <w:tcBorders>
              <w:top w:val="nil" w:sz="6" w:space="0" w:color="auto"/>
              <w:left w:val="single" w:sz="4" w:space="0" w:color="000000"/>
              <w:bottom w:val="nil" w:sz="6" w:space="0" w:color="auto"/>
              <w:right w:val="single" w:sz="4" w:space="0" w:color="000000"/>
            </w:tcBorders>
          </w:tcPr>
          <w:p>
            <w:pPr/>
          </w:p>
        </w:tc>
      </w:tr>
      <w:tr>
        <w:trPr>
          <w:trHeight w:val="234" w:hRule="exact"/>
        </w:trPr>
        <w:tc>
          <w:tcPr>
            <w:tcW w:w="842" w:type="dxa"/>
            <w:gridSpan w:val="2"/>
            <w:tcBorders>
              <w:top w:val="nil" w:sz="6" w:space="0" w:color="auto"/>
              <w:left w:val="single" w:sz="4" w:space="0" w:color="000000"/>
              <w:bottom w:val="nil" w:sz="6" w:space="0" w:color="auto"/>
              <w:right w:val="single" w:sz="4" w:space="0" w:color="000000"/>
            </w:tcBorders>
          </w:tcPr>
          <w:p>
            <w:pPr/>
          </w:p>
        </w:tc>
        <w:tc>
          <w:tcPr>
            <w:tcW w:w="751" w:type="dxa"/>
            <w:gridSpan w:val="2"/>
            <w:tcBorders>
              <w:top w:val="nil" w:sz="6" w:space="0" w:color="auto"/>
              <w:left w:val="single" w:sz="4" w:space="0" w:color="000000"/>
              <w:bottom w:val="nil" w:sz="6" w:space="0" w:color="auto"/>
              <w:right w:val="single" w:sz="4" w:space="0" w:color="000000"/>
            </w:tcBorders>
          </w:tcPr>
          <w:p>
            <w:pPr/>
          </w:p>
        </w:tc>
        <w:tc>
          <w:tcPr>
            <w:tcW w:w="674" w:type="dxa"/>
            <w:gridSpan w:val="3"/>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hAnsi="宋体" w:cs="宋体" w:eastAsia="宋体" w:hint="default"/>
                <w:spacing w:val="2"/>
                <w:w w:val="95"/>
                <w:sz w:val="18"/>
                <w:szCs w:val="18"/>
              </w:rPr>
              <w:t>和信息披露义务，依照与无关联关系的独立第三方进行相同</w:t>
            </w:r>
          </w:p>
        </w:tc>
        <w:tc>
          <w:tcPr>
            <w:tcW w:w="878" w:type="dxa"/>
            <w:gridSpan w:val="2"/>
            <w:tcBorders>
              <w:top w:val="nil" w:sz="6" w:space="0" w:color="auto"/>
              <w:left w:val="single" w:sz="4" w:space="0" w:color="000000"/>
              <w:bottom w:val="nil" w:sz="6" w:space="0" w:color="auto"/>
              <w:right w:val="single" w:sz="4" w:space="0" w:color="000000"/>
            </w:tcBorders>
          </w:tcPr>
          <w:p>
            <w:pPr/>
          </w:p>
        </w:tc>
        <w:tc>
          <w:tcPr>
            <w:tcW w:w="682" w:type="dxa"/>
            <w:gridSpan w:val="2"/>
            <w:tcBorders>
              <w:top w:val="nil" w:sz="6" w:space="0" w:color="auto"/>
              <w:left w:val="single" w:sz="4" w:space="0" w:color="000000"/>
              <w:bottom w:val="nil" w:sz="6" w:space="0" w:color="auto"/>
              <w:right w:val="single" w:sz="4" w:space="0" w:color="000000"/>
            </w:tcBorders>
          </w:tcPr>
          <w:p>
            <w:pPr/>
          </w:p>
        </w:tc>
        <w:tc>
          <w:tcPr>
            <w:tcW w:w="850" w:type="dxa"/>
            <w:gridSpan w:val="2"/>
            <w:tcBorders>
              <w:top w:val="nil" w:sz="6" w:space="0" w:color="auto"/>
              <w:left w:val="single" w:sz="4" w:space="0" w:color="000000"/>
              <w:bottom w:val="nil" w:sz="6" w:space="0" w:color="auto"/>
              <w:right w:val="single" w:sz="4" w:space="0" w:color="000000"/>
            </w:tcBorders>
          </w:tcPr>
          <w:p>
            <w:pPr/>
          </w:p>
        </w:tc>
      </w:tr>
      <w:tr>
        <w:trPr>
          <w:trHeight w:val="234" w:hRule="exact"/>
        </w:trPr>
        <w:tc>
          <w:tcPr>
            <w:tcW w:w="842" w:type="dxa"/>
            <w:gridSpan w:val="2"/>
            <w:tcBorders>
              <w:top w:val="nil" w:sz="6" w:space="0" w:color="auto"/>
              <w:left w:val="single" w:sz="4" w:space="0" w:color="000000"/>
              <w:bottom w:val="nil" w:sz="6" w:space="0" w:color="auto"/>
              <w:right w:val="single" w:sz="4" w:space="0" w:color="000000"/>
            </w:tcBorders>
          </w:tcPr>
          <w:p>
            <w:pPr/>
          </w:p>
        </w:tc>
        <w:tc>
          <w:tcPr>
            <w:tcW w:w="751" w:type="dxa"/>
            <w:gridSpan w:val="2"/>
            <w:tcBorders>
              <w:top w:val="nil" w:sz="6" w:space="0" w:color="auto"/>
              <w:left w:val="single" w:sz="4" w:space="0" w:color="000000"/>
              <w:bottom w:val="nil" w:sz="6" w:space="0" w:color="auto"/>
              <w:right w:val="single" w:sz="4" w:space="0" w:color="000000"/>
            </w:tcBorders>
          </w:tcPr>
          <w:p>
            <w:pPr/>
          </w:p>
        </w:tc>
        <w:tc>
          <w:tcPr>
            <w:tcW w:w="674" w:type="dxa"/>
            <w:gridSpan w:val="3"/>
            <w:tcBorders>
              <w:top w:val="nil" w:sz="6" w:space="0" w:color="auto"/>
              <w:left w:val="single" w:sz="4" w:space="0" w:color="000000"/>
              <w:bottom w:val="nil" w:sz="6" w:space="0" w:color="auto"/>
              <w:right w:val="single" w:sz="4" w:space="0" w:color="000000"/>
            </w:tcBorders>
          </w:tcPr>
          <w:p>
            <w:pPr/>
          </w:p>
        </w:tc>
        <w:tc>
          <w:tcPr>
            <w:tcW w:w="4961"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hAnsi="宋体" w:cs="宋体" w:eastAsia="宋体" w:hint="default"/>
                <w:spacing w:val="2"/>
                <w:w w:val="95"/>
                <w:sz w:val="18"/>
                <w:szCs w:val="18"/>
              </w:rPr>
              <w:t>或相似交易时的价格确定关联交易价格，保证关联交易价格</w:t>
            </w:r>
          </w:p>
        </w:tc>
        <w:tc>
          <w:tcPr>
            <w:tcW w:w="878" w:type="dxa"/>
            <w:gridSpan w:val="2"/>
            <w:tcBorders>
              <w:top w:val="nil" w:sz="6" w:space="0" w:color="auto"/>
              <w:left w:val="single" w:sz="4" w:space="0" w:color="000000"/>
              <w:bottom w:val="nil" w:sz="6" w:space="0" w:color="auto"/>
              <w:right w:val="single" w:sz="4" w:space="0" w:color="000000"/>
            </w:tcBorders>
          </w:tcPr>
          <w:p>
            <w:pPr/>
          </w:p>
        </w:tc>
        <w:tc>
          <w:tcPr>
            <w:tcW w:w="682" w:type="dxa"/>
            <w:gridSpan w:val="2"/>
            <w:tcBorders>
              <w:top w:val="nil" w:sz="6" w:space="0" w:color="auto"/>
              <w:left w:val="single" w:sz="4" w:space="0" w:color="000000"/>
              <w:bottom w:val="nil" w:sz="6" w:space="0" w:color="auto"/>
              <w:right w:val="single" w:sz="4" w:space="0" w:color="000000"/>
            </w:tcBorders>
          </w:tcPr>
          <w:p>
            <w:pPr/>
          </w:p>
        </w:tc>
        <w:tc>
          <w:tcPr>
            <w:tcW w:w="850" w:type="dxa"/>
            <w:gridSpan w:val="2"/>
            <w:tcBorders>
              <w:top w:val="nil" w:sz="6" w:space="0" w:color="auto"/>
              <w:left w:val="single" w:sz="4" w:space="0" w:color="000000"/>
              <w:bottom w:val="nil" w:sz="6" w:space="0" w:color="auto"/>
              <w:right w:val="single" w:sz="4" w:space="0" w:color="000000"/>
            </w:tcBorders>
          </w:tcPr>
          <w:p>
            <w:pPr/>
          </w:p>
        </w:tc>
      </w:tr>
      <w:tr>
        <w:trPr>
          <w:trHeight w:val="277" w:hRule="exact"/>
        </w:trPr>
        <w:tc>
          <w:tcPr>
            <w:tcW w:w="842" w:type="dxa"/>
            <w:gridSpan w:val="2"/>
            <w:tcBorders>
              <w:top w:val="nil" w:sz="6" w:space="0" w:color="auto"/>
              <w:left w:val="single" w:sz="4" w:space="0" w:color="000000"/>
              <w:bottom w:val="single" w:sz="4" w:space="0" w:color="000000"/>
              <w:right w:val="single" w:sz="4" w:space="0" w:color="000000"/>
            </w:tcBorders>
          </w:tcPr>
          <w:p>
            <w:pPr/>
          </w:p>
        </w:tc>
        <w:tc>
          <w:tcPr>
            <w:tcW w:w="751" w:type="dxa"/>
            <w:gridSpan w:val="2"/>
            <w:tcBorders>
              <w:top w:val="nil" w:sz="6" w:space="0" w:color="auto"/>
              <w:left w:val="single" w:sz="4" w:space="0" w:color="000000"/>
              <w:bottom w:val="single" w:sz="4" w:space="0" w:color="000000"/>
              <w:right w:val="single" w:sz="4" w:space="0" w:color="000000"/>
            </w:tcBorders>
          </w:tcPr>
          <w:p>
            <w:pPr/>
          </w:p>
        </w:tc>
        <w:tc>
          <w:tcPr>
            <w:tcW w:w="674" w:type="dxa"/>
            <w:gridSpan w:val="3"/>
            <w:tcBorders>
              <w:top w:val="nil" w:sz="6" w:space="0" w:color="auto"/>
              <w:left w:val="single" w:sz="4" w:space="0" w:color="000000"/>
              <w:bottom w:val="single" w:sz="4" w:space="0" w:color="000000"/>
              <w:right w:val="single" w:sz="4" w:space="0" w:color="000000"/>
            </w:tcBorders>
          </w:tcPr>
          <w:p>
            <w:pPr/>
          </w:p>
        </w:tc>
        <w:tc>
          <w:tcPr>
            <w:tcW w:w="496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具有公允性。</w:t>
            </w:r>
          </w:p>
        </w:tc>
        <w:tc>
          <w:tcPr>
            <w:tcW w:w="878" w:type="dxa"/>
            <w:gridSpan w:val="2"/>
            <w:tcBorders>
              <w:top w:val="nil" w:sz="6" w:space="0" w:color="auto"/>
              <w:left w:val="single" w:sz="4" w:space="0" w:color="000000"/>
              <w:bottom w:val="single" w:sz="4" w:space="0" w:color="000000"/>
              <w:right w:val="single" w:sz="4" w:space="0" w:color="000000"/>
            </w:tcBorders>
          </w:tcPr>
          <w:p>
            <w:pPr/>
          </w:p>
        </w:tc>
        <w:tc>
          <w:tcPr>
            <w:tcW w:w="682" w:type="dxa"/>
            <w:gridSpan w:val="2"/>
            <w:tcBorders>
              <w:top w:val="nil" w:sz="6" w:space="0" w:color="auto"/>
              <w:left w:val="single" w:sz="4" w:space="0" w:color="000000"/>
              <w:bottom w:val="single" w:sz="4" w:space="0" w:color="000000"/>
              <w:right w:val="single" w:sz="4" w:space="0" w:color="000000"/>
            </w:tcBorders>
          </w:tcPr>
          <w:p>
            <w:pPr/>
          </w:p>
        </w:tc>
        <w:tc>
          <w:tcPr>
            <w:tcW w:w="850" w:type="dxa"/>
            <w:gridSpan w:val="2"/>
            <w:tcBorders>
              <w:top w:val="nil" w:sz="6" w:space="0" w:color="auto"/>
              <w:left w:val="single" w:sz="4" w:space="0" w:color="000000"/>
              <w:bottom w:val="single" w:sz="4" w:space="0" w:color="000000"/>
              <w:right w:val="single" w:sz="4" w:space="0" w:color="000000"/>
            </w:tcBorders>
          </w:tcPr>
          <w:p>
            <w:pPr/>
          </w:p>
        </w:tc>
      </w:tr>
      <w:tr>
        <w:trPr>
          <w:trHeight w:val="242" w:hRule="exact"/>
        </w:trPr>
        <w:tc>
          <w:tcPr>
            <w:tcW w:w="9638" w:type="dxa"/>
            <w:gridSpan w:val="14"/>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3" w:right="151"/>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9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69" w:right="13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5" w:right="15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3" w:right="11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3" w:right="14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238" w:hRule="exact"/>
        </w:trPr>
        <w:tc>
          <w:tcPr>
            <w:tcW w:w="626" w:type="dxa"/>
            <w:tcBorders>
              <w:top w:val="single" w:sz="4" w:space="0" w:color="000000"/>
              <w:left w:val="single" w:sz="4" w:space="0" w:color="000000"/>
              <w:bottom w:val="nil" w:sz="6" w:space="0" w:color="auto"/>
              <w:right w:val="single" w:sz="4" w:space="0" w:color="000000"/>
            </w:tcBorders>
          </w:tcPr>
          <w:p>
            <w:pPr/>
          </w:p>
        </w:tc>
        <w:tc>
          <w:tcPr>
            <w:tcW w:w="967" w:type="dxa"/>
            <w:gridSpan w:val="3"/>
            <w:tcBorders>
              <w:top w:val="single" w:sz="4" w:space="0" w:color="000000"/>
              <w:left w:val="single" w:sz="4" w:space="0" w:color="000000"/>
              <w:bottom w:val="nil" w:sz="6" w:space="0" w:color="auto"/>
              <w:right w:val="single" w:sz="4" w:space="0" w:color="000000"/>
            </w:tcBorders>
          </w:tcPr>
          <w:p>
            <w:pPr/>
          </w:p>
        </w:tc>
        <w:tc>
          <w:tcPr>
            <w:tcW w:w="581" w:type="dxa"/>
            <w:gridSpan w:val="2"/>
            <w:tcBorders>
              <w:top w:val="single" w:sz="4" w:space="0" w:color="000000"/>
              <w:left w:val="single" w:sz="4" w:space="0" w:color="000000"/>
              <w:bottom w:val="nil" w:sz="6" w:space="0" w:color="auto"/>
              <w:right w:val="single" w:sz="4" w:space="0" w:color="000000"/>
            </w:tcBorders>
          </w:tcPr>
          <w:p>
            <w:pPr/>
          </w:p>
        </w:tc>
        <w:tc>
          <w:tcPr>
            <w:tcW w:w="5621"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保证本公司独立性的承诺：</w:t>
            </w:r>
          </w:p>
        </w:tc>
        <w:tc>
          <w:tcPr>
            <w:tcW w:w="636" w:type="dxa"/>
            <w:gridSpan w:val="2"/>
            <w:tcBorders>
              <w:top w:val="single" w:sz="4" w:space="0" w:color="000000"/>
              <w:left w:val="single" w:sz="4" w:space="0" w:color="000000"/>
              <w:bottom w:val="nil" w:sz="6" w:space="0" w:color="auto"/>
              <w:right w:val="single" w:sz="4" w:space="0" w:color="000000"/>
            </w:tcBorders>
          </w:tcPr>
          <w:p>
            <w:pPr/>
          </w:p>
        </w:tc>
        <w:tc>
          <w:tcPr>
            <w:tcW w:w="588" w:type="dxa"/>
            <w:gridSpan w:val="2"/>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1、保证本公司人员独立</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(1)保证本公司生产经营与行政管理(包括劳动、人事及工资管理</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等)完全独立于中兆投资、黄茂如先生及其控制的其他公司、企业。</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(2)保证本公司总经理、副总经理、财务负责人、营销负责人、董</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事会秘书等高级管理人员专职在公司工作、并在公司领取薪酬，不在</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中兆投资及中兆投资、黄茂如先生控制的其他公司、企业兼职担任高</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(3)保证中兆投资、黄茂如先生推荐出任本公司董事、监事和高级</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管理人员的人选均通过合法程序进行，中兆投资、黄茂如先生不干预</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本公司董事会和股东大会做出的人事任免决定。</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1634" w:hRule="exact"/>
        </w:trPr>
        <w:tc>
          <w:tcPr>
            <w:tcW w:w="6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both"/>
              <w:rPr>
                <w:rFonts w:ascii="宋体" w:hAnsi="宋体" w:cs="宋体" w:eastAsia="宋体" w:hint="default"/>
                <w:sz w:val="18"/>
                <w:szCs w:val="18"/>
              </w:rPr>
            </w:pPr>
            <w:r>
              <w:rPr>
                <w:rFonts w:ascii="宋体"/>
                <w:sz w:val="18"/>
              </w:rPr>
              <w:t>2012</w:t>
            </w:r>
          </w:p>
          <w:p>
            <w:pPr>
              <w:pStyle w:val="TableParagraph"/>
              <w:spacing w:line="316" w:lineRule="auto" w:before="76"/>
              <w:ind w:left="103" w:right="10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96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96" w:right="132"/>
              <w:jc w:val="both"/>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及公司原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人黄茂如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先生</w:t>
            </w:r>
          </w:p>
        </w:tc>
        <w:tc>
          <w:tcPr>
            <w:tcW w:w="58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69" w:right="101"/>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2"/>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2、保证本公司财务独立</w:t>
            </w:r>
          </w:p>
          <w:p>
            <w:pPr>
              <w:pStyle w:val="TableParagraph"/>
              <w:spacing w:line="240" w:lineRule="auto"/>
              <w:ind w:left="103" w:right="98" w:firstLine="360"/>
              <w:jc w:val="left"/>
              <w:rPr>
                <w:rFonts w:ascii="宋体" w:hAnsi="宋体" w:cs="宋体" w:eastAsia="宋体" w:hint="default"/>
                <w:sz w:val="18"/>
                <w:szCs w:val="18"/>
              </w:rPr>
            </w:pPr>
            <w:r>
              <w:rPr>
                <w:rFonts w:ascii="宋体" w:hAnsi="宋体" w:cs="宋体" w:eastAsia="宋体" w:hint="default"/>
                <w:spacing w:val="2"/>
                <w:sz w:val="18"/>
                <w:szCs w:val="18"/>
              </w:rPr>
              <w:t>(1)保证本公司设置独立的财务会计部门和拥有独立的财务核算</w:t>
            </w:r>
            <w:r>
              <w:rPr>
                <w:rFonts w:ascii="宋体" w:hAnsi="宋体" w:cs="宋体" w:eastAsia="宋体" w:hint="default"/>
                <w:sz w:val="18"/>
                <w:szCs w:val="18"/>
              </w:rPr>
              <w:t> 体系和财务管理制度。</w:t>
            </w:r>
          </w:p>
          <w:p>
            <w:pPr>
              <w:pStyle w:val="TableParagraph"/>
              <w:spacing w:line="232" w:lineRule="exact" w:before="22"/>
              <w:ind w:left="103" w:right="98" w:firstLine="360"/>
              <w:jc w:val="left"/>
              <w:rPr>
                <w:rFonts w:ascii="宋体" w:hAnsi="宋体" w:cs="宋体" w:eastAsia="宋体" w:hint="default"/>
                <w:sz w:val="18"/>
                <w:szCs w:val="18"/>
              </w:rPr>
            </w:pPr>
            <w:r>
              <w:rPr>
                <w:rFonts w:ascii="宋体" w:hAnsi="宋体" w:cs="宋体" w:eastAsia="宋体" w:hint="default"/>
                <w:spacing w:val="-3"/>
                <w:sz w:val="18"/>
                <w:szCs w:val="18"/>
              </w:rPr>
              <w:t>(2)保证本公司在财务决策方面保持独立，中兆投资、黄茂如先生</w:t>
            </w:r>
            <w:r>
              <w:rPr>
                <w:rFonts w:ascii="宋体" w:hAnsi="宋体" w:cs="宋体" w:eastAsia="宋体" w:hint="default"/>
                <w:sz w:val="18"/>
                <w:szCs w:val="18"/>
              </w:rPr>
              <w:t> 及其控制的其他公司、企业不干涉本公司的资金使用。</w:t>
            </w:r>
          </w:p>
          <w:p>
            <w:pPr>
              <w:pStyle w:val="TableParagraph"/>
              <w:spacing w:line="232" w:lineRule="exact" w:before="3"/>
              <w:ind w:left="103" w:right="98" w:firstLine="360"/>
              <w:jc w:val="left"/>
              <w:rPr>
                <w:rFonts w:ascii="宋体" w:hAnsi="宋体" w:cs="宋体" w:eastAsia="宋体" w:hint="default"/>
                <w:sz w:val="18"/>
                <w:szCs w:val="18"/>
              </w:rPr>
            </w:pPr>
            <w:r>
              <w:rPr>
                <w:rFonts w:ascii="宋体" w:hAnsi="宋体" w:cs="宋体" w:eastAsia="宋体" w:hint="default"/>
                <w:spacing w:val="-3"/>
                <w:sz w:val="18"/>
                <w:szCs w:val="18"/>
              </w:rPr>
              <w:t>(3)保证本公司保持自己独立的银行账户，不与中兆投资、黄茂如</w:t>
            </w:r>
            <w:r>
              <w:rPr>
                <w:rFonts w:ascii="宋体" w:hAnsi="宋体" w:cs="宋体" w:eastAsia="宋体" w:hint="default"/>
                <w:sz w:val="18"/>
                <w:szCs w:val="18"/>
              </w:rPr>
              <w:t> 先生及其控制的其他公司、企业共用一个银行账户。</w:t>
            </w:r>
          </w:p>
        </w:tc>
        <w:tc>
          <w:tcPr>
            <w:tcW w:w="63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11</w:t>
            </w:r>
          </w:p>
          <w:p>
            <w:pPr>
              <w:pStyle w:val="TableParagraph"/>
              <w:spacing w:line="316" w:lineRule="auto" w:before="76"/>
              <w:ind w:left="105" w:right="9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z w:val="18"/>
                <w:szCs w:val="18"/>
              </w:rPr>
              <w:t> 日</w:t>
            </w:r>
          </w:p>
        </w:tc>
        <w:tc>
          <w:tcPr>
            <w:tcW w:w="588"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103" w:right="98"/>
              <w:jc w:val="both"/>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45"/>
                <w:sz w:val="18"/>
                <w:szCs w:val="18"/>
              </w:rPr>
              <w:t> </w:t>
            </w:r>
            <w:r>
              <w:rPr>
                <w:rFonts w:ascii="宋体" w:hAnsi="宋体" w:cs="宋体" w:eastAsia="宋体" w:hint="default"/>
                <w:sz w:val="18"/>
                <w:szCs w:val="18"/>
              </w:rPr>
              <w:t>守</w:t>
            </w:r>
            <w:r>
              <w:rPr>
                <w:rFonts w:ascii="宋体" w:hAnsi="宋体" w:cs="宋体" w:eastAsia="宋体" w:hint="default"/>
                <w:sz w:val="18"/>
                <w:szCs w:val="18"/>
              </w:rPr>
              <w:t> 了</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3、保证本公司机构独立</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保证本公司及其子公司依</w:t>
            </w:r>
            <w:r>
              <w:rPr>
                <w:rFonts w:ascii="宋体" w:hAnsi="宋体" w:cs="宋体" w:eastAsia="宋体" w:hint="default"/>
                <w:spacing w:val="-3"/>
                <w:sz w:val="18"/>
                <w:szCs w:val="18"/>
              </w:rPr>
              <w:t>法</w:t>
            </w:r>
            <w:r>
              <w:rPr>
                <w:rFonts w:ascii="宋体" w:hAnsi="宋体" w:cs="宋体" w:eastAsia="宋体" w:hint="default"/>
                <w:sz w:val="18"/>
                <w:szCs w:val="18"/>
              </w:rPr>
              <w:t>建立和完善法人治理结构</w:t>
            </w:r>
            <w:r>
              <w:rPr>
                <w:rFonts w:ascii="宋体" w:hAnsi="宋体" w:cs="宋体" w:eastAsia="宋体" w:hint="default"/>
                <w:spacing w:val="-85"/>
                <w:sz w:val="18"/>
                <w:szCs w:val="18"/>
              </w:rPr>
              <w:t>，</w:t>
            </w:r>
            <w:r>
              <w:rPr>
                <w:rFonts w:ascii="宋体" w:hAnsi="宋体" w:cs="宋体" w:eastAsia="宋体" w:hint="default"/>
                <w:sz w:val="18"/>
                <w:szCs w:val="18"/>
              </w:rPr>
              <w:t>并与中</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兆投资、黄茂如先生控制的其他公司、企业机构完全分开；保证本公</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司及其子公司与中兆投资、黄茂如先生控制的其他公司、企业之间在</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办公机构和生产经营场所等方面完全分开。</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(2)保证本公司及其子公司独立自主运作，中兆投资、黄茂如先生</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不会超越本公司董事会、股东大会直接或间接干预本公司的决策和经</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4、保证本公司资产独立、完整</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26" w:type="dxa"/>
            <w:tcBorders>
              <w:top w:val="nil" w:sz="6" w:space="0" w:color="auto"/>
              <w:left w:val="single" w:sz="4" w:space="0" w:color="000000"/>
              <w:bottom w:val="nil" w:sz="6" w:space="0" w:color="auto"/>
              <w:right w:val="single" w:sz="4" w:space="0" w:color="000000"/>
            </w:tcBorders>
          </w:tcPr>
          <w:p>
            <w:pPr/>
          </w:p>
        </w:tc>
        <w:tc>
          <w:tcPr>
            <w:tcW w:w="967" w:type="dxa"/>
            <w:gridSpan w:val="3"/>
            <w:tcBorders>
              <w:top w:val="nil" w:sz="6" w:space="0" w:color="auto"/>
              <w:left w:val="single" w:sz="4" w:space="0" w:color="000000"/>
              <w:bottom w:val="nil" w:sz="6" w:space="0" w:color="auto"/>
              <w:right w:val="single" w:sz="4" w:space="0" w:color="000000"/>
            </w:tcBorders>
          </w:tcPr>
          <w:p>
            <w:pPr/>
          </w:p>
        </w:tc>
        <w:tc>
          <w:tcPr>
            <w:tcW w:w="581" w:type="dxa"/>
            <w:gridSpan w:val="2"/>
            <w:tcBorders>
              <w:top w:val="nil" w:sz="6" w:space="0" w:color="auto"/>
              <w:left w:val="single" w:sz="4" w:space="0" w:color="000000"/>
              <w:bottom w:val="nil" w:sz="6" w:space="0" w:color="auto"/>
              <w:right w:val="single" w:sz="4" w:space="0" w:color="000000"/>
            </w:tcBorders>
          </w:tcPr>
          <w:p>
            <w:pPr/>
          </w:p>
        </w:tc>
        <w:tc>
          <w:tcPr>
            <w:tcW w:w="5621"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保证本公司及其子公司资</w:t>
            </w:r>
            <w:r>
              <w:rPr>
                <w:rFonts w:ascii="宋体" w:hAnsi="宋体" w:cs="宋体" w:eastAsia="宋体" w:hint="default"/>
                <w:spacing w:val="-3"/>
                <w:sz w:val="18"/>
                <w:szCs w:val="18"/>
              </w:rPr>
              <w:t>产</w:t>
            </w:r>
            <w:r>
              <w:rPr>
                <w:rFonts w:ascii="宋体" w:hAnsi="宋体" w:cs="宋体" w:eastAsia="宋体" w:hint="default"/>
                <w:sz w:val="18"/>
                <w:szCs w:val="18"/>
              </w:rPr>
              <w:t>的独立完整</w:t>
            </w:r>
            <w:r>
              <w:rPr>
                <w:rFonts w:ascii="宋体" w:hAnsi="宋体" w:cs="宋体" w:eastAsia="宋体" w:hint="default"/>
                <w:spacing w:val="-85"/>
                <w:sz w:val="18"/>
                <w:szCs w:val="18"/>
              </w:rPr>
              <w:t>；</w:t>
            </w:r>
            <w:r>
              <w:rPr>
                <w:rFonts w:ascii="宋体" w:hAnsi="宋体" w:cs="宋体" w:eastAsia="宋体" w:hint="default"/>
                <w:sz w:val="18"/>
                <w:szCs w:val="18"/>
              </w:rPr>
              <w:t>保证本次置入本公司</w:t>
            </w:r>
          </w:p>
        </w:tc>
        <w:tc>
          <w:tcPr>
            <w:tcW w:w="636" w:type="dxa"/>
            <w:gridSpan w:val="2"/>
            <w:tcBorders>
              <w:top w:val="nil" w:sz="6" w:space="0" w:color="auto"/>
              <w:left w:val="single" w:sz="4" w:space="0" w:color="000000"/>
              <w:bottom w:val="nil" w:sz="6" w:space="0" w:color="auto"/>
              <w:right w:val="single" w:sz="4" w:space="0" w:color="000000"/>
            </w:tcBorders>
          </w:tcPr>
          <w:p>
            <w:pPr/>
          </w:p>
        </w:tc>
        <w:tc>
          <w:tcPr>
            <w:tcW w:w="588" w:type="dxa"/>
            <w:gridSpan w:val="2"/>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26" w:type="dxa"/>
            <w:tcBorders>
              <w:top w:val="nil" w:sz="6" w:space="0" w:color="auto"/>
              <w:left w:val="single" w:sz="4" w:space="0" w:color="000000"/>
              <w:bottom w:val="single" w:sz="4" w:space="0" w:color="000000"/>
              <w:right w:val="single" w:sz="4" w:space="0" w:color="000000"/>
            </w:tcBorders>
          </w:tcPr>
          <w:p>
            <w:pPr/>
          </w:p>
        </w:tc>
        <w:tc>
          <w:tcPr>
            <w:tcW w:w="967" w:type="dxa"/>
            <w:gridSpan w:val="3"/>
            <w:tcBorders>
              <w:top w:val="nil" w:sz="6" w:space="0" w:color="auto"/>
              <w:left w:val="single" w:sz="4" w:space="0" w:color="000000"/>
              <w:bottom w:val="single" w:sz="4" w:space="0" w:color="000000"/>
              <w:right w:val="single" w:sz="4" w:space="0" w:color="000000"/>
            </w:tcBorders>
          </w:tcPr>
          <w:p>
            <w:pPr/>
          </w:p>
        </w:tc>
        <w:tc>
          <w:tcPr>
            <w:tcW w:w="581" w:type="dxa"/>
            <w:gridSpan w:val="2"/>
            <w:tcBorders>
              <w:top w:val="nil" w:sz="6" w:space="0" w:color="auto"/>
              <w:left w:val="single" w:sz="4" w:space="0" w:color="000000"/>
              <w:bottom w:val="single" w:sz="4" w:space="0" w:color="000000"/>
              <w:right w:val="single" w:sz="4" w:space="0" w:color="000000"/>
            </w:tcBorders>
          </w:tcPr>
          <w:p>
            <w:pPr/>
          </w:p>
        </w:tc>
        <w:tc>
          <w:tcPr>
            <w:tcW w:w="5621" w:type="dxa"/>
            <w:gridSpan w:val="3"/>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的资产权属清晰、不存在瑕疵。</w:t>
            </w:r>
          </w:p>
        </w:tc>
        <w:tc>
          <w:tcPr>
            <w:tcW w:w="636" w:type="dxa"/>
            <w:gridSpan w:val="2"/>
            <w:tcBorders>
              <w:top w:val="nil" w:sz="6" w:space="0" w:color="auto"/>
              <w:left w:val="single" w:sz="4" w:space="0" w:color="000000"/>
              <w:bottom w:val="single" w:sz="4" w:space="0" w:color="000000"/>
              <w:right w:val="single" w:sz="4" w:space="0" w:color="000000"/>
            </w:tcBorders>
          </w:tcPr>
          <w:p>
            <w:pPr/>
          </w:p>
        </w:tc>
        <w:tc>
          <w:tcPr>
            <w:tcW w:w="588" w:type="dxa"/>
            <w:gridSpan w:val="2"/>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4" w:footer="1000" w:top="1140" w:bottom="1200" w:left="1080" w:right="960"/>
        </w:sect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19"/>
        <w:gridCol w:w="799"/>
        <w:gridCol w:w="142"/>
        <w:gridCol w:w="473"/>
        <w:gridCol w:w="142"/>
        <w:gridCol w:w="3780"/>
        <w:gridCol w:w="991"/>
        <w:gridCol w:w="569"/>
        <w:gridCol w:w="281"/>
        <w:gridCol w:w="427"/>
        <w:gridCol w:w="96"/>
        <w:gridCol w:w="113"/>
        <w:gridCol w:w="559"/>
        <w:gridCol w:w="648"/>
      </w:tblGrid>
      <w:tr>
        <w:trPr>
          <w:trHeight w:val="272" w:hRule="exact"/>
        </w:trPr>
        <w:tc>
          <w:tcPr>
            <w:tcW w:w="619" w:type="dxa"/>
            <w:tcBorders>
              <w:top w:val="single" w:sz="4" w:space="0" w:color="000000"/>
              <w:left w:val="single" w:sz="4" w:space="0" w:color="000000"/>
              <w:bottom w:val="nil" w:sz="6" w:space="0" w:color="auto"/>
              <w:right w:val="single" w:sz="4" w:space="0" w:color="000000"/>
            </w:tcBorders>
          </w:tcPr>
          <w:p>
            <w:pPr/>
          </w:p>
        </w:tc>
        <w:tc>
          <w:tcPr>
            <w:tcW w:w="941" w:type="dxa"/>
            <w:gridSpan w:val="2"/>
            <w:tcBorders>
              <w:top w:val="single" w:sz="4" w:space="0" w:color="000000"/>
              <w:left w:val="single" w:sz="4" w:space="0" w:color="000000"/>
              <w:bottom w:val="nil" w:sz="6" w:space="0" w:color="auto"/>
              <w:right w:val="single" w:sz="4" w:space="0" w:color="000000"/>
            </w:tcBorders>
          </w:tcPr>
          <w:p>
            <w:pPr/>
          </w:p>
        </w:tc>
        <w:tc>
          <w:tcPr>
            <w:tcW w:w="614" w:type="dxa"/>
            <w:gridSpan w:val="2"/>
            <w:tcBorders>
              <w:top w:val="single" w:sz="4" w:space="0" w:color="000000"/>
              <w:left w:val="single" w:sz="4" w:space="0" w:color="000000"/>
              <w:bottom w:val="nil" w:sz="6" w:space="0" w:color="auto"/>
              <w:right w:val="single" w:sz="4" w:space="0" w:color="000000"/>
            </w:tcBorders>
          </w:tcPr>
          <w:p>
            <w:pPr/>
          </w:p>
        </w:tc>
        <w:tc>
          <w:tcPr>
            <w:tcW w:w="5621"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463" w:right="0"/>
              <w:jc w:val="left"/>
              <w:rPr>
                <w:rFonts w:ascii="宋体" w:hAnsi="宋体" w:cs="宋体" w:eastAsia="宋体" w:hint="default"/>
                <w:sz w:val="18"/>
                <w:szCs w:val="18"/>
              </w:rPr>
            </w:pPr>
            <w:r>
              <w:rPr>
                <w:rFonts w:ascii="宋体" w:hAnsi="宋体" w:cs="宋体" w:eastAsia="宋体" w:hint="default"/>
                <w:spacing w:val="-3"/>
                <w:sz w:val="18"/>
                <w:szCs w:val="18"/>
              </w:rPr>
              <w:t>(2)保证中兆投资、黄茂如先生及中兆投资、黄茂如先生控制的其</w:t>
            </w:r>
          </w:p>
        </w:tc>
        <w:tc>
          <w:tcPr>
            <w:tcW w:w="636" w:type="dxa"/>
            <w:gridSpan w:val="3"/>
            <w:tcBorders>
              <w:top w:val="single" w:sz="4" w:space="0" w:color="000000"/>
              <w:left w:val="single" w:sz="4" w:space="0" w:color="000000"/>
              <w:bottom w:val="nil" w:sz="6" w:space="0" w:color="auto"/>
              <w:right w:val="single" w:sz="4" w:space="0" w:color="000000"/>
            </w:tcBorders>
          </w:tcPr>
          <w:p>
            <w:pPr/>
          </w:p>
        </w:tc>
        <w:tc>
          <w:tcPr>
            <w:tcW w:w="559" w:type="dxa"/>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941" w:type="dxa"/>
            <w:gridSpan w:val="2"/>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621"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他公司、企业不违规占用本公司资产、资金及其他资源。</w:t>
            </w:r>
          </w:p>
        </w:tc>
        <w:tc>
          <w:tcPr>
            <w:tcW w:w="636" w:type="dxa"/>
            <w:gridSpan w:val="3"/>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941" w:type="dxa"/>
            <w:gridSpan w:val="2"/>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621"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5、保证本公司业务独立</w:t>
            </w:r>
          </w:p>
        </w:tc>
        <w:tc>
          <w:tcPr>
            <w:tcW w:w="636" w:type="dxa"/>
            <w:gridSpan w:val="3"/>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1634" w:hRule="exact"/>
        </w:trPr>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both"/>
              <w:rPr>
                <w:rFonts w:ascii="宋体" w:hAnsi="宋体" w:cs="宋体" w:eastAsia="宋体" w:hint="default"/>
                <w:sz w:val="18"/>
                <w:szCs w:val="18"/>
              </w:rPr>
            </w:pPr>
            <w:r>
              <w:rPr>
                <w:rFonts w:ascii="宋体"/>
                <w:sz w:val="18"/>
              </w:rPr>
              <w:t>2012</w:t>
            </w:r>
          </w:p>
          <w:p>
            <w:pPr>
              <w:pStyle w:val="TableParagraph"/>
              <w:spacing w:line="316" w:lineRule="auto" w:before="76"/>
              <w:ind w:left="103"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9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及公司原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人黄茂如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先生</w:t>
            </w:r>
          </w:p>
        </w:tc>
        <w:tc>
          <w:tcPr>
            <w:tcW w:w="61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2"/>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621" w:type="dxa"/>
            <w:gridSpan w:val="4"/>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firstLine="360"/>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保证本公司拥有独立的生</w:t>
            </w:r>
            <w:r>
              <w:rPr>
                <w:rFonts w:ascii="宋体" w:hAnsi="宋体" w:cs="宋体" w:eastAsia="宋体" w:hint="default"/>
                <w:spacing w:val="-3"/>
                <w:sz w:val="18"/>
                <w:szCs w:val="18"/>
              </w:rPr>
              <w:t>产</w:t>
            </w:r>
            <w:r>
              <w:rPr>
                <w:rFonts w:ascii="宋体" w:hAnsi="宋体" w:cs="宋体" w:eastAsia="宋体" w:hint="default"/>
                <w:sz w:val="18"/>
                <w:szCs w:val="18"/>
              </w:rPr>
              <w:t>和销售体系</w:t>
            </w:r>
            <w:r>
              <w:rPr>
                <w:rFonts w:ascii="宋体" w:hAnsi="宋体" w:cs="宋体" w:eastAsia="宋体" w:hint="default"/>
                <w:spacing w:val="-85"/>
                <w:sz w:val="18"/>
                <w:szCs w:val="18"/>
              </w:rPr>
              <w:t>；</w:t>
            </w:r>
            <w:r>
              <w:rPr>
                <w:rFonts w:ascii="宋体" w:hAnsi="宋体" w:cs="宋体" w:eastAsia="宋体" w:hint="default"/>
                <w:sz w:val="18"/>
                <w:szCs w:val="18"/>
              </w:rPr>
              <w:t>在本次交易完成后拥</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z w:val="18"/>
                <w:szCs w:val="18"/>
              </w:rPr>
              <w:t>有独立开展经营活动的资产、人员、资质以及具有独立面向市场自主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经营的能力，在产、供、销等环节不依赖于中兆投资、黄茂如先生及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其控制的其他公司、企业。</w:t>
            </w:r>
          </w:p>
          <w:p>
            <w:pPr>
              <w:pStyle w:val="TableParagraph"/>
              <w:spacing w:line="237" w:lineRule="auto"/>
              <w:ind w:left="103" w:right="98" w:firstLine="360"/>
              <w:jc w:val="both"/>
              <w:rPr>
                <w:rFonts w:ascii="宋体" w:hAnsi="宋体" w:cs="宋体" w:eastAsia="宋体" w:hint="default"/>
                <w:sz w:val="18"/>
                <w:szCs w:val="18"/>
              </w:rPr>
            </w:pPr>
            <w:r>
              <w:rPr>
                <w:rFonts w:ascii="宋体" w:hAnsi="宋体" w:cs="宋体" w:eastAsia="宋体" w:hint="default"/>
                <w:spacing w:val="-3"/>
                <w:sz w:val="18"/>
                <w:szCs w:val="18"/>
              </w:rPr>
              <w:t>(2)保证严格控制关联交易事项，尽可能减少本公司及其子公司与</w:t>
            </w:r>
            <w:r>
              <w:rPr>
                <w:rFonts w:ascii="宋体" w:hAnsi="宋体" w:cs="宋体" w:eastAsia="宋体" w:hint="default"/>
                <w:sz w:val="18"/>
                <w:szCs w:val="18"/>
              </w:rPr>
              <w:t> 中兆投资、黄茂如先生及其控制的其他公司、企业之间的持续性关联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交易。杜绝非法占用本公司资金、资产的行为，并不要求本公司及其</w:t>
            </w:r>
          </w:p>
        </w:tc>
        <w:tc>
          <w:tcPr>
            <w:tcW w:w="63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11</w:t>
            </w:r>
          </w:p>
          <w:p>
            <w:pPr>
              <w:pStyle w:val="TableParagraph"/>
              <w:spacing w:line="316" w:lineRule="auto" w:before="76"/>
              <w:ind w:left="105" w:right="9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z w:val="18"/>
                <w:szCs w:val="18"/>
              </w:rPr>
              <w:t> 日</w:t>
            </w:r>
          </w:p>
        </w:tc>
        <w:tc>
          <w:tcPr>
            <w:tcW w:w="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长期</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132" w:right="98"/>
              <w:jc w:val="both"/>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45"/>
                <w:sz w:val="18"/>
                <w:szCs w:val="18"/>
              </w:rPr>
              <w:t> </w:t>
            </w:r>
            <w:r>
              <w:rPr>
                <w:rFonts w:ascii="宋体" w:hAnsi="宋体" w:cs="宋体" w:eastAsia="宋体" w:hint="default"/>
                <w:sz w:val="18"/>
                <w:szCs w:val="18"/>
              </w:rPr>
              <w:t>守</w:t>
            </w:r>
            <w:r>
              <w:rPr>
                <w:rFonts w:ascii="宋体" w:hAnsi="宋体" w:cs="宋体" w:eastAsia="宋体" w:hint="default"/>
                <w:sz w:val="18"/>
                <w:szCs w:val="18"/>
              </w:rPr>
              <w:t> 了</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941" w:type="dxa"/>
            <w:gridSpan w:val="2"/>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621"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子公司向中兆投资、黄茂如先生及其控制的其他公司、企业提供任何</w:t>
            </w:r>
          </w:p>
        </w:tc>
        <w:tc>
          <w:tcPr>
            <w:tcW w:w="636" w:type="dxa"/>
            <w:gridSpan w:val="3"/>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941" w:type="dxa"/>
            <w:gridSpan w:val="2"/>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621"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形式的担保。对于无法避免的关联交易将本着“公平、公正、公开”</w:t>
            </w:r>
          </w:p>
        </w:tc>
        <w:tc>
          <w:tcPr>
            <w:tcW w:w="636" w:type="dxa"/>
            <w:gridSpan w:val="3"/>
            <w:tcBorders>
              <w:top w:val="nil" w:sz="6" w:space="0" w:color="auto"/>
              <w:left w:val="single" w:sz="4" w:space="0" w:color="000000"/>
              <w:bottom w:val="nil" w:sz="6" w:space="0" w:color="auto"/>
              <w:right w:val="single" w:sz="4" w:space="0" w:color="000000"/>
            </w:tcBorders>
          </w:tcPr>
          <w:p>
            <w:pPr/>
          </w:p>
        </w:tc>
        <w:tc>
          <w:tcPr>
            <w:tcW w:w="559"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619" w:type="dxa"/>
            <w:tcBorders>
              <w:top w:val="nil" w:sz="6" w:space="0" w:color="auto"/>
              <w:left w:val="single" w:sz="4" w:space="0" w:color="000000"/>
              <w:bottom w:val="single" w:sz="4" w:space="0" w:color="000000"/>
              <w:right w:val="single" w:sz="4" w:space="0" w:color="000000"/>
            </w:tcBorders>
          </w:tcPr>
          <w:p>
            <w:pPr/>
          </w:p>
        </w:tc>
        <w:tc>
          <w:tcPr>
            <w:tcW w:w="941" w:type="dxa"/>
            <w:gridSpan w:val="2"/>
            <w:tcBorders>
              <w:top w:val="nil" w:sz="6" w:space="0" w:color="auto"/>
              <w:left w:val="single" w:sz="4" w:space="0" w:color="000000"/>
              <w:bottom w:val="single" w:sz="4" w:space="0" w:color="000000"/>
              <w:right w:val="single" w:sz="4" w:space="0" w:color="000000"/>
            </w:tcBorders>
          </w:tcPr>
          <w:p>
            <w:pPr/>
          </w:p>
        </w:tc>
        <w:tc>
          <w:tcPr>
            <w:tcW w:w="614" w:type="dxa"/>
            <w:gridSpan w:val="2"/>
            <w:tcBorders>
              <w:top w:val="nil" w:sz="6" w:space="0" w:color="auto"/>
              <w:left w:val="single" w:sz="4" w:space="0" w:color="000000"/>
              <w:bottom w:val="single" w:sz="4" w:space="0" w:color="000000"/>
              <w:right w:val="single" w:sz="4" w:space="0" w:color="000000"/>
            </w:tcBorders>
          </w:tcPr>
          <w:p>
            <w:pPr/>
          </w:p>
        </w:tc>
        <w:tc>
          <w:tcPr>
            <w:tcW w:w="5621" w:type="dxa"/>
            <w:gridSpan w:val="4"/>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的原则，与对非关联企业的交易价格保持一致，并及时进行信息披露。</w:t>
            </w:r>
          </w:p>
        </w:tc>
        <w:tc>
          <w:tcPr>
            <w:tcW w:w="636" w:type="dxa"/>
            <w:gridSpan w:val="3"/>
            <w:tcBorders>
              <w:top w:val="nil" w:sz="6" w:space="0" w:color="auto"/>
              <w:left w:val="single" w:sz="4" w:space="0" w:color="000000"/>
              <w:bottom w:val="single" w:sz="4" w:space="0" w:color="000000"/>
              <w:right w:val="single" w:sz="4" w:space="0" w:color="000000"/>
            </w:tcBorders>
          </w:tcPr>
          <w:p>
            <w:pPr/>
          </w:p>
        </w:tc>
        <w:tc>
          <w:tcPr>
            <w:tcW w:w="559" w:type="dxa"/>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r>
      <w:tr>
        <w:trPr>
          <w:trHeight w:val="1570"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both"/>
              <w:rPr>
                <w:rFonts w:ascii="宋体" w:hAnsi="宋体" w:cs="宋体" w:eastAsia="宋体" w:hint="default"/>
                <w:sz w:val="18"/>
                <w:szCs w:val="18"/>
              </w:rPr>
            </w:pPr>
            <w:r>
              <w:rPr>
                <w:rFonts w:ascii="宋体"/>
                <w:sz w:val="18"/>
              </w:rPr>
              <w:t>2012</w:t>
            </w:r>
          </w:p>
          <w:p>
            <w:pPr>
              <w:pStyle w:val="TableParagraph"/>
              <w:spacing w:line="316" w:lineRule="auto" w:before="76"/>
              <w:ind w:left="103"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及公司原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人黄茂如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先生</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32" w:lineRule="exact"/>
              <w:ind w:left="103" w:right="101"/>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2"/>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6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32" w:lineRule="exact"/>
              <w:ind w:left="103" w:right="7" w:firstLine="451"/>
              <w:jc w:val="left"/>
              <w:rPr>
                <w:rFonts w:ascii="宋体" w:hAnsi="宋体" w:cs="宋体" w:eastAsia="宋体" w:hint="default"/>
                <w:sz w:val="18"/>
                <w:szCs w:val="18"/>
              </w:rPr>
            </w:pPr>
            <w:r>
              <w:rPr>
                <w:rFonts w:ascii="宋体" w:hAnsi="宋体" w:cs="宋体" w:eastAsia="宋体" w:hint="default"/>
                <w:sz w:val="18"/>
                <w:szCs w:val="18"/>
              </w:rPr>
              <w:t>(3)保证不通过单独或一致行动的途径，以依法行使股东权利以 </w:t>
            </w:r>
            <w:r>
              <w:rPr>
                <w:rFonts w:ascii="宋体" w:hAnsi="宋体" w:cs="宋体" w:eastAsia="宋体" w:hint="default"/>
                <w:spacing w:val="-3"/>
                <w:sz w:val="18"/>
                <w:szCs w:val="18"/>
              </w:rPr>
              <w:t>外的任何方式，干预本公司重大决策事项，影响上市公司资产、人员、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财务、机构、业务的独立性。</w:t>
            </w:r>
          </w:p>
        </w:tc>
        <w:tc>
          <w:tcPr>
            <w:tcW w:w="6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2012</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11</w:t>
            </w:r>
          </w:p>
          <w:p>
            <w:pPr>
              <w:pStyle w:val="TableParagraph"/>
              <w:spacing w:line="319" w:lineRule="auto" w:before="76"/>
              <w:ind w:left="105" w:right="9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z w:val="18"/>
                <w:szCs w:val="18"/>
              </w:rPr>
              <w:t> 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长期</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32" w:right="98"/>
              <w:jc w:val="both"/>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45"/>
                <w:sz w:val="18"/>
                <w:szCs w:val="18"/>
              </w:rPr>
              <w:t> </w:t>
            </w:r>
            <w:r>
              <w:rPr>
                <w:rFonts w:ascii="宋体" w:hAnsi="宋体" w:cs="宋体" w:eastAsia="宋体" w:hint="default"/>
                <w:sz w:val="18"/>
                <w:szCs w:val="18"/>
              </w:rPr>
              <w:t>守</w:t>
            </w:r>
            <w:r>
              <w:rPr>
                <w:rFonts w:ascii="宋体" w:hAnsi="宋体" w:cs="宋体" w:eastAsia="宋体" w:hint="default"/>
                <w:sz w:val="18"/>
                <w:szCs w:val="18"/>
              </w:rPr>
              <w:t> 了</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r>
        <w:trPr>
          <w:trHeight w:val="245" w:hRule="exact"/>
        </w:trPr>
        <w:tc>
          <w:tcPr>
            <w:tcW w:w="9638" w:type="dxa"/>
            <w:gridSpan w:val="14"/>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4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411"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both"/>
              <w:rPr>
                <w:rFonts w:ascii="宋体" w:hAnsi="宋体" w:cs="宋体" w:eastAsia="宋体" w:hint="default"/>
                <w:sz w:val="18"/>
                <w:szCs w:val="18"/>
              </w:rPr>
            </w:pPr>
            <w:r>
              <w:rPr>
                <w:rFonts w:ascii="宋体"/>
                <w:sz w:val="18"/>
              </w:rPr>
              <w:t>2014</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鹰溪谷、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博 升</w:t>
            </w:r>
            <w:r>
              <w:rPr>
                <w:rFonts w:ascii="宋体" w:hAnsi="宋体" w:cs="宋体" w:eastAsia="宋体" w:hint="default"/>
                <w:spacing w:val="2"/>
                <w:sz w:val="18"/>
                <w:szCs w:val="18"/>
              </w:rPr>
              <w:t> </w:t>
            </w:r>
            <w:r>
              <w:rPr>
                <w:rFonts w:ascii="宋体" w:hAnsi="宋体" w:cs="宋体" w:eastAsia="宋体" w:hint="default"/>
                <w:sz w:val="18"/>
                <w:szCs w:val="18"/>
              </w:rPr>
              <w:t>优</w:t>
            </w:r>
            <w:r>
              <w:rPr>
                <w:rFonts w:ascii="宋体" w:hAnsi="宋体" w:cs="宋体" w:eastAsia="宋体" w:hint="default"/>
                <w:sz w:val="18"/>
                <w:szCs w:val="18"/>
              </w:rPr>
              <w:t> 势、峰幽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52"/>
                <w:sz w:val="18"/>
                <w:szCs w:val="18"/>
              </w:rPr>
              <w:t> </w:t>
            </w:r>
            <w:r>
              <w:rPr>
                <w:rFonts w:ascii="宋体" w:hAnsi="宋体" w:cs="宋体" w:eastAsia="宋体" w:hint="default"/>
                <w:sz w:val="18"/>
                <w:szCs w:val="18"/>
              </w:rPr>
              <w:t>定</w:t>
            </w:r>
            <w:r>
              <w:rPr>
                <w:rFonts w:ascii="宋体" w:hAnsi="宋体" w:cs="宋体" w:eastAsia="宋体" w:hint="default"/>
                <w:sz w:val="18"/>
                <w:szCs w:val="18"/>
              </w:rPr>
              <w:t> 期限</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pacing w:val="-3"/>
                <w:sz w:val="18"/>
                <w:szCs w:val="18"/>
              </w:rPr>
              <w:t>股份锁定承诺：鹰溪谷、博升优势、峰幽</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59"/>
                <w:sz w:val="18"/>
                <w:szCs w:val="18"/>
              </w:rPr>
              <w:t> </w:t>
            </w:r>
            <w:r>
              <w:rPr>
                <w:rFonts w:ascii="宋体" w:hAnsi="宋体" w:cs="宋体" w:eastAsia="宋体" w:hint="default"/>
                <w:sz w:val="18"/>
                <w:szCs w:val="18"/>
              </w:rPr>
              <w:t>资</w:t>
            </w:r>
            <w:r>
              <w:rPr>
                <w:rFonts w:ascii="宋体" w:hAnsi="宋体" w:cs="宋体" w:eastAsia="宋体" w:hint="default"/>
                <w:spacing w:val="-59"/>
                <w:sz w:val="18"/>
                <w:szCs w:val="18"/>
              </w:rPr>
              <w:t> </w:t>
            </w:r>
            <w:r>
              <w:rPr>
                <w:rFonts w:ascii="宋体" w:hAnsi="宋体" w:cs="宋体" w:eastAsia="宋体" w:hint="default"/>
                <w:sz w:val="18"/>
                <w:szCs w:val="18"/>
              </w:rPr>
              <w:t>认</w:t>
            </w:r>
            <w:r>
              <w:rPr>
                <w:rFonts w:ascii="宋体" w:hAnsi="宋体" w:cs="宋体" w:eastAsia="宋体" w:hint="default"/>
                <w:spacing w:val="-59"/>
                <w:sz w:val="18"/>
                <w:szCs w:val="18"/>
              </w:rPr>
              <w:t> </w:t>
            </w:r>
            <w:r>
              <w:rPr>
                <w:rFonts w:ascii="宋体" w:hAnsi="宋体" w:cs="宋体" w:eastAsia="宋体" w:hint="default"/>
                <w:sz w:val="18"/>
                <w:szCs w:val="18"/>
              </w:rPr>
              <w:t>购</w:t>
            </w:r>
            <w:r>
              <w:rPr>
                <w:rFonts w:ascii="宋体" w:hAnsi="宋体" w:cs="宋体" w:eastAsia="宋体" w:hint="default"/>
                <w:spacing w:val="-59"/>
                <w:sz w:val="18"/>
                <w:szCs w:val="18"/>
              </w:rPr>
              <w:t> </w:t>
            </w:r>
            <w:r>
              <w:rPr>
                <w:rFonts w:ascii="宋体" w:hAnsi="宋体" w:cs="宋体" w:eastAsia="宋体" w:hint="default"/>
                <w:sz w:val="18"/>
                <w:szCs w:val="18"/>
              </w:rPr>
              <w:t>的</w:t>
            </w:r>
            <w:r>
              <w:rPr>
                <w:rFonts w:ascii="宋体" w:hAnsi="宋体" w:cs="宋体" w:eastAsia="宋体" w:hint="default"/>
                <w:spacing w:val="-59"/>
                <w:sz w:val="18"/>
                <w:szCs w:val="18"/>
              </w:rPr>
              <w:t> </w:t>
            </w:r>
            <w:r>
              <w:rPr>
                <w:rFonts w:ascii="宋体" w:hAnsi="宋体" w:cs="宋体" w:eastAsia="宋体" w:hint="default"/>
                <w:sz w:val="18"/>
                <w:szCs w:val="18"/>
              </w:rPr>
              <w:t>公</w:t>
            </w:r>
            <w:r>
              <w:rPr>
                <w:rFonts w:ascii="宋体" w:hAnsi="宋体" w:cs="宋体" w:eastAsia="宋体" w:hint="default"/>
                <w:spacing w:val="-59"/>
                <w:sz w:val="18"/>
                <w:szCs w:val="18"/>
              </w:rPr>
              <w:t> </w:t>
            </w:r>
            <w:r>
              <w:rPr>
                <w:rFonts w:ascii="宋体" w:hAnsi="宋体" w:cs="宋体" w:eastAsia="宋体" w:hint="default"/>
                <w:sz w:val="18"/>
                <w:szCs w:val="18"/>
              </w:rPr>
              <w:t>司</w:t>
            </w:r>
            <w:r>
              <w:rPr>
                <w:rFonts w:ascii="宋体" w:hAnsi="宋体" w:cs="宋体" w:eastAsia="宋体" w:hint="default"/>
                <w:spacing w:val="-59"/>
                <w:sz w:val="18"/>
                <w:szCs w:val="18"/>
              </w:rPr>
              <w:t> </w:t>
            </w:r>
            <w:r>
              <w:rPr>
                <w:rFonts w:ascii="宋体" w:hAnsi="宋体" w:cs="宋体" w:eastAsia="宋体" w:hint="default"/>
                <w:sz w:val="18"/>
                <w:szCs w:val="18"/>
              </w:rPr>
              <w:t>非</w:t>
            </w:r>
            <w:r>
              <w:rPr>
                <w:rFonts w:ascii="宋体" w:hAnsi="宋体" w:cs="宋体" w:eastAsia="宋体" w:hint="default"/>
                <w:spacing w:val="-59"/>
                <w:sz w:val="18"/>
                <w:szCs w:val="18"/>
              </w:rPr>
              <w:t> </w:t>
            </w:r>
            <w:r>
              <w:rPr>
                <w:rFonts w:ascii="宋体" w:hAnsi="宋体" w:cs="宋体" w:eastAsia="宋体" w:hint="default"/>
                <w:sz w:val="18"/>
                <w:szCs w:val="18"/>
              </w:rPr>
              <w:t>公</w:t>
            </w:r>
            <w:r>
              <w:rPr>
                <w:rFonts w:ascii="宋体" w:hAnsi="宋体" w:cs="宋体" w:eastAsia="宋体" w:hint="default"/>
                <w:spacing w:val="-59"/>
                <w:sz w:val="18"/>
                <w:szCs w:val="18"/>
              </w:rPr>
              <w:t> </w:t>
            </w:r>
            <w:r>
              <w:rPr>
                <w:rFonts w:ascii="宋体" w:hAnsi="宋体" w:cs="宋体" w:eastAsia="宋体" w:hint="default"/>
                <w:sz w:val="18"/>
                <w:szCs w:val="18"/>
              </w:rPr>
              <w:t>开</w:t>
            </w:r>
            <w:r>
              <w:rPr>
                <w:rFonts w:ascii="宋体" w:hAnsi="宋体" w:cs="宋体" w:eastAsia="宋体" w:hint="default"/>
                <w:spacing w:val="-59"/>
                <w:sz w:val="18"/>
                <w:szCs w:val="18"/>
              </w:rPr>
              <w:t> </w:t>
            </w:r>
            <w:r>
              <w:rPr>
                <w:rFonts w:ascii="宋体" w:hAnsi="宋体" w:cs="宋体" w:eastAsia="宋体" w:hint="default"/>
                <w:sz w:val="18"/>
                <w:szCs w:val="18"/>
              </w:rPr>
              <w:t>发</w:t>
            </w:r>
            <w:r>
              <w:rPr>
                <w:rFonts w:ascii="宋体" w:hAnsi="宋体" w:cs="宋体" w:eastAsia="宋体" w:hint="default"/>
                <w:spacing w:val="-57"/>
                <w:sz w:val="18"/>
                <w:szCs w:val="18"/>
              </w:rPr>
              <w:t> </w:t>
            </w:r>
            <w:r>
              <w:rPr>
                <w:rFonts w:ascii="宋体" w:hAnsi="宋体" w:cs="宋体" w:eastAsia="宋体" w:hint="default"/>
                <w:sz w:val="18"/>
                <w:szCs w:val="18"/>
              </w:rPr>
              <w:t>行</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pacing w:val="-59"/>
                <w:sz w:val="18"/>
                <w:szCs w:val="18"/>
              </w:rPr>
              <w:t> </w:t>
            </w:r>
            <w:r>
              <w:rPr>
                <w:rFonts w:ascii="宋体" w:hAnsi="宋体" w:cs="宋体" w:eastAsia="宋体" w:hint="default"/>
                <w:sz w:val="18"/>
                <w:szCs w:val="18"/>
              </w:rPr>
              <w:t>分</w:t>
            </w:r>
            <w:r>
              <w:rPr>
                <w:rFonts w:ascii="宋体" w:hAnsi="宋体" w:cs="宋体" w:eastAsia="宋体" w:hint="default"/>
                <w:spacing w:val="-59"/>
                <w:sz w:val="18"/>
                <w:szCs w:val="18"/>
              </w:rPr>
              <w:t> </w:t>
            </w:r>
            <w:r>
              <w:rPr>
                <w:rFonts w:ascii="宋体" w:hAnsi="宋体" w:cs="宋体" w:eastAsia="宋体" w:hint="default"/>
                <w:sz w:val="18"/>
                <w:szCs w:val="18"/>
              </w:rPr>
              <w:t>别</w:t>
            </w:r>
            <w:r>
              <w:rPr>
                <w:rFonts w:ascii="宋体" w:hAnsi="宋体" w:cs="宋体" w:eastAsia="宋体" w:hint="default"/>
                <w:spacing w:val="-59"/>
                <w:sz w:val="18"/>
                <w:szCs w:val="18"/>
              </w:rPr>
              <w:t> </w:t>
            </w:r>
            <w:r>
              <w:rPr>
                <w:rFonts w:ascii="宋体" w:hAnsi="宋体" w:cs="宋体" w:eastAsia="宋体" w:hint="default"/>
                <w:sz w:val="18"/>
                <w:szCs w:val="18"/>
              </w:rPr>
              <w:t>为</w:t>
            </w:r>
            <w:r>
              <w:rPr>
                <w:rFonts w:ascii="宋体" w:hAnsi="宋体" w:cs="宋体" w:eastAsia="宋体" w:hint="default"/>
                <w:sz w:val="18"/>
                <w:szCs w:val="18"/>
              </w:rPr>
              <w:t> 148,360,844 股、1,498,595</w:t>
            </w:r>
            <w:r>
              <w:rPr>
                <w:rFonts w:ascii="宋体" w:hAnsi="宋体" w:cs="宋体" w:eastAsia="宋体" w:hint="default"/>
                <w:spacing w:val="-36"/>
                <w:sz w:val="18"/>
                <w:szCs w:val="18"/>
              </w:rPr>
              <w:t> </w:t>
            </w:r>
            <w:r>
              <w:rPr>
                <w:rFonts w:ascii="宋体" w:hAnsi="宋体" w:cs="宋体" w:eastAsia="宋体" w:hint="default"/>
                <w:sz w:val="18"/>
                <w:szCs w:val="18"/>
              </w:rPr>
              <w:t>股、26,445,783</w:t>
            </w:r>
          </w:p>
          <w:p>
            <w:pPr>
              <w:pStyle w:val="TableParagraph"/>
              <w:spacing w:line="237" w:lineRule="auto"/>
              <w:ind w:left="103" w:right="7"/>
              <w:jc w:val="left"/>
              <w:rPr>
                <w:rFonts w:ascii="宋体" w:hAnsi="宋体" w:cs="宋体" w:eastAsia="宋体" w:hint="default"/>
                <w:sz w:val="18"/>
                <w:szCs w:val="18"/>
              </w:rPr>
            </w:pPr>
            <w:r>
              <w:rPr>
                <w:rFonts w:ascii="宋体" w:hAnsi="宋体" w:cs="宋体" w:eastAsia="宋体" w:hint="default"/>
                <w:spacing w:val="-3"/>
                <w:sz w:val="18"/>
                <w:szCs w:val="18"/>
              </w:rPr>
              <w:t>股，锁定期为自认购股份上市之日起</w:t>
            </w:r>
            <w:r>
              <w:rPr>
                <w:rFonts w:ascii="宋体" w:hAnsi="宋体" w:cs="宋体" w:eastAsia="宋体" w:hint="default"/>
                <w:spacing w:val="-40"/>
                <w:sz w:val="18"/>
                <w:szCs w:val="18"/>
              </w:rPr>
              <w:t> </w:t>
            </w:r>
            <w:r>
              <w:rPr>
                <w:rFonts w:ascii="宋体" w:hAnsi="宋体" w:cs="宋体" w:eastAsia="宋体" w:hint="default"/>
                <w:sz w:val="18"/>
                <w:szCs w:val="18"/>
              </w:rPr>
              <w:t>36</w:t>
            </w:r>
            <w:r>
              <w:rPr>
                <w:rFonts w:ascii="宋体" w:hAnsi="宋体" w:cs="宋体" w:eastAsia="宋体" w:hint="default"/>
                <w:spacing w:val="-39"/>
                <w:sz w:val="18"/>
                <w:szCs w:val="18"/>
              </w:rPr>
              <w:t> </w:t>
            </w:r>
            <w:r>
              <w:rPr>
                <w:rFonts w:ascii="宋体" w:hAnsi="宋体" w:cs="宋体" w:eastAsia="宋体" w:hint="default"/>
                <w:sz w:val="18"/>
                <w:szCs w:val="18"/>
              </w:rPr>
              <w:t>个月，</w:t>
            </w:r>
            <w:r>
              <w:rPr>
                <w:rFonts w:ascii="宋体" w:hAnsi="宋体" w:cs="宋体" w:eastAsia="宋体" w:hint="default"/>
                <w:sz w:val="18"/>
                <w:szCs w:val="18"/>
              </w:rPr>
              <w:t> </w:t>
            </w:r>
            <w:r>
              <w:rPr>
                <w:rFonts w:ascii="宋体" w:hAnsi="宋体" w:cs="宋体" w:eastAsia="宋体" w:hint="default"/>
                <w:spacing w:val="7"/>
                <w:sz w:val="18"/>
                <w:szCs w:val="18"/>
              </w:rPr>
              <w:t>锁定期届满后按证监会及深交所的有关规定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执行。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12</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pacing w:val="-16"/>
                <w:sz w:val="18"/>
                <w:szCs w:val="18"/>
              </w:rPr>
              <w:t>2014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12</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月 19</w:t>
            </w:r>
            <w:r>
              <w:rPr>
                <w:rFonts w:ascii="宋体" w:hAnsi="宋体" w:cs="宋体" w:eastAsia="宋体" w:hint="default"/>
                <w:spacing w:val="-21"/>
                <w:sz w:val="18"/>
                <w:szCs w:val="18"/>
              </w:rPr>
              <w:t> </w:t>
            </w:r>
            <w:r>
              <w:rPr>
                <w:rFonts w:ascii="宋体" w:hAnsi="宋体" w:cs="宋体" w:eastAsia="宋体" w:hint="default"/>
                <w:sz w:val="18"/>
                <w:szCs w:val="18"/>
              </w:rPr>
              <w:t>日非公</w:t>
            </w:r>
            <w:r>
              <w:rPr>
                <w:rFonts w:ascii="宋体" w:hAnsi="宋体" w:cs="宋体" w:eastAsia="宋体" w:hint="default"/>
                <w:sz w:val="18"/>
                <w:szCs w:val="18"/>
              </w:rPr>
              <w:t> 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50"/>
                <w:sz w:val="18"/>
                <w:szCs w:val="18"/>
              </w:rPr>
              <w:t> </w:t>
            </w:r>
            <w:r>
              <w:rPr>
                <w:rFonts w:ascii="宋体" w:hAnsi="宋体" w:cs="宋体" w:eastAsia="宋体" w:hint="default"/>
                <w:sz w:val="18"/>
                <w:szCs w:val="18"/>
              </w:rPr>
              <w:t>行</w:t>
            </w:r>
            <w:r>
              <w:rPr>
                <w:rFonts w:ascii="宋体" w:hAnsi="宋体" w:cs="宋体" w:eastAsia="宋体" w:hint="default"/>
                <w:spacing w:val="-52"/>
                <w:sz w:val="18"/>
                <w:szCs w:val="18"/>
              </w:rPr>
              <w:t> </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宋体" w:hAnsi="宋体" w:cs="宋体" w:eastAsia="宋体" w:hint="default"/>
                <w:sz w:val="18"/>
                <w:szCs w:val="18"/>
              </w:rPr>
              <w:t>份</w:t>
            </w:r>
            <w:r>
              <w:rPr>
                <w:rFonts w:ascii="宋体" w:hAnsi="宋体" w:cs="宋体" w:eastAsia="宋体" w:hint="default"/>
                <w:sz w:val="18"/>
                <w:szCs w:val="18"/>
              </w:rPr>
              <w:t> 在</w:t>
            </w:r>
            <w:r>
              <w:rPr>
                <w:rFonts w:ascii="宋体" w:hAnsi="宋体" w:cs="宋体" w:eastAsia="宋体" w:hint="default"/>
                <w:spacing w:val="-50"/>
                <w:sz w:val="18"/>
                <w:szCs w:val="18"/>
              </w:rPr>
              <w:t> </w:t>
            </w:r>
            <w:r>
              <w:rPr>
                <w:rFonts w:ascii="宋体" w:hAnsi="宋体" w:cs="宋体" w:eastAsia="宋体" w:hint="default"/>
                <w:sz w:val="18"/>
                <w:szCs w:val="18"/>
              </w:rPr>
              <w:t>深</w:t>
            </w:r>
            <w:r>
              <w:rPr>
                <w:rFonts w:ascii="宋体" w:hAnsi="宋体" w:cs="宋体" w:eastAsia="宋体" w:hint="default"/>
                <w:spacing w:val="-50"/>
                <w:sz w:val="18"/>
                <w:szCs w:val="18"/>
              </w:rPr>
              <w:t> </w:t>
            </w:r>
            <w:r>
              <w:rPr>
                <w:rFonts w:ascii="宋体" w:hAnsi="宋体" w:cs="宋体" w:eastAsia="宋体" w:hint="default"/>
                <w:sz w:val="18"/>
                <w:szCs w:val="18"/>
              </w:rPr>
              <w:t>交</w:t>
            </w:r>
            <w:r>
              <w:rPr>
                <w:rFonts w:ascii="宋体" w:hAnsi="宋体" w:cs="宋体" w:eastAsia="宋体" w:hint="default"/>
                <w:spacing w:val="-52"/>
                <w:sz w:val="18"/>
                <w:szCs w:val="18"/>
              </w:rPr>
              <w:t> </w:t>
            </w:r>
            <w:r>
              <w:rPr>
                <w:rFonts w:ascii="宋体" w:hAnsi="宋体" w:cs="宋体" w:eastAsia="宋体" w:hint="default"/>
                <w:sz w:val="18"/>
                <w:szCs w:val="18"/>
              </w:rPr>
              <w:t>所</w:t>
            </w:r>
            <w:r>
              <w:rPr>
                <w:rFonts w:ascii="宋体" w:hAnsi="宋体" w:cs="宋体" w:eastAsia="宋体" w:hint="default"/>
                <w:spacing w:val="-50"/>
                <w:sz w:val="18"/>
                <w:szCs w:val="18"/>
              </w:rPr>
              <w:t> </w:t>
            </w:r>
            <w:r>
              <w:rPr>
                <w:rFonts w:ascii="宋体" w:hAnsi="宋体" w:cs="宋体" w:eastAsia="宋体" w:hint="default"/>
                <w:sz w:val="18"/>
                <w:szCs w:val="18"/>
              </w:rPr>
              <w:t>上</w:t>
            </w:r>
            <w:r>
              <w:rPr>
                <w:rFonts w:ascii="宋体" w:hAnsi="宋体" w:cs="宋体" w:eastAsia="宋体" w:hint="default"/>
                <w:sz w:val="18"/>
                <w:szCs w:val="18"/>
              </w:rPr>
              <w:t> </w:t>
            </w:r>
            <w:r>
              <w:rPr>
                <w:rFonts w:ascii="宋体" w:hAnsi="宋体" w:cs="宋体" w:eastAsia="宋体" w:hint="default"/>
                <w:spacing w:val="12"/>
                <w:sz w:val="18"/>
                <w:szCs w:val="18"/>
              </w:rPr>
              <w:t>市之日起</w:t>
            </w:r>
            <w:r>
              <w:rPr>
                <w:rFonts w:ascii="宋体" w:hAnsi="宋体" w:cs="宋体" w:eastAsia="宋体" w:hint="default"/>
                <w:spacing w:val="18"/>
                <w:sz w:val="18"/>
                <w:szCs w:val="18"/>
              </w:rPr>
              <w:t> </w:t>
            </w:r>
            <w:r>
              <w:rPr>
                <w:rFonts w:ascii="宋体" w:hAnsi="宋体" w:cs="宋体" w:eastAsia="宋体" w:hint="default"/>
                <w:sz w:val="18"/>
                <w:szCs w:val="18"/>
              </w:rPr>
              <w:t>36</w:t>
            </w:r>
            <w:r>
              <w:rPr>
                <w:rFonts w:ascii="宋体" w:hAnsi="宋体" w:cs="宋体" w:eastAsia="宋体" w:hint="default"/>
                <w:sz w:val="18"/>
                <w:szCs w:val="18"/>
              </w:rPr>
              <w:t> 个月内。</w:t>
            </w:r>
          </w:p>
        </w:tc>
        <w:tc>
          <w:tcPr>
            <w:tcW w:w="14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7"/>
                <w:sz w:val="18"/>
                <w:szCs w:val="18"/>
              </w:rPr>
              <w:t> </w:t>
            </w:r>
            <w:r>
              <w:rPr>
                <w:rFonts w:ascii="宋体" w:hAnsi="宋体" w:cs="宋体" w:eastAsia="宋体" w:hint="default"/>
                <w:spacing w:val="5"/>
                <w:sz w:val="18"/>
                <w:szCs w:val="18"/>
              </w:rPr>
              <w:t>日期满，于</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25</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66"/>
                <w:sz w:val="18"/>
                <w:szCs w:val="18"/>
              </w:rPr>
              <w:t> </w:t>
            </w:r>
            <w:r>
              <w:rPr>
                <w:rFonts w:ascii="宋体" w:hAnsi="宋体" w:cs="宋体" w:eastAsia="宋体" w:hint="default"/>
                <w:sz w:val="18"/>
                <w:szCs w:val="18"/>
              </w:rPr>
              <w:t>解</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t>上</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流</w:t>
            </w:r>
            <w:r>
              <w:rPr>
                <w:rFonts w:ascii="宋体" w:hAnsi="宋体" w:cs="宋体" w:eastAsia="宋体" w:hint="default"/>
                <w:sz w:val="18"/>
                <w:szCs w:val="18"/>
              </w:rPr>
              <w:t> </w:t>
            </w:r>
            <w:r>
              <w:rPr>
                <w:rFonts w:ascii="宋体" w:hAnsi="宋体" w:cs="宋体" w:eastAsia="宋体" w:hint="default"/>
                <w:spacing w:val="-9"/>
                <w:sz w:val="18"/>
                <w:szCs w:val="18"/>
              </w:rPr>
              <w:t>通，报告期承诺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履行完毕。</w:t>
            </w:r>
          </w:p>
        </w:tc>
      </w:tr>
      <w:tr>
        <w:trPr>
          <w:trHeight w:val="242" w:hRule="exact"/>
        </w:trPr>
        <w:tc>
          <w:tcPr>
            <w:tcW w:w="9638" w:type="dxa"/>
            <w:gridSpan w:val="14"/>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44"/>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3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32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74" w:right="20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238" w:hRule="exact"/>
        </w:trPr>
        <w:tc>
          <w:tcPr>
            <w:tcW w:w="619"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614" w:type="dxa"/>
            <w:gridSpan w:val="2"/>
            <w:tcBorders>
              <w:top w:val="single" w:sz="4" w:space="0" w:color="000000"/>
              <w:left w:val="single" w:sz="4" w:space="0" w:color="000000"/>
              <w:bottom w:val="nil" w:sz="6" w:space="0" w:color="auto"/>
              <w:right w:val="single" w:sz="4" w:space="0" w:color="000000"/>
            </w:tcBorders>
          </w:tcPr>
          <w:p>
            <w:pPr/>
          </w:p>
        </w:tc>
        <w:tc>
          <w:tcPr>
            <w:tcW w:w="5482" w:type="dxa"/>
            <w:gridSpan w:val="4"/>
            <w:tcBorders>
              <w:top w:val="single" w:sz="4" w:space="0" w:color="000000"/>
              <w:left w:val="single" w:sz="4" w:space="0" w:color="000000"/>
              <w:bottom w:val="nil" w:sz="6" w:space="0" w:color="auto"/>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1、保持独立性的承诺：保持公司和创世漫道的人员、机构、资</w:t>
            </w:r>
          </w:p>
        </w:tc>
        <w:tc>
          <w:tcPr>
            <w:tcW w:w="804" w:type="dxa"/>
            <w:gridSpan w:val="3"/>
            <w:tcBorders>
              <w:top w:val="single" w:sz="4" w:space="0" w:color="000000"/>
              <w:left w:val="single" w:sz="4" w:space="0" w:color="000000"/>
              <w:bottom w:val="nil" w:sz="6" w:space="0" w:color="auto"/>
              <w:right w:val="single" w:sz="4" w:space="0" w:color="000000"/>
            </w:tcBorders>
          </w:tcPr>
          <w:p>
            <w:pPr/>
          </w:p>
        </w:tc>
        <w:tc>
          <w:tcPr>
            <w:tcW w:w="672" w:type="dxa"/>
            <w:gridSpan w:val="2"/>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产、业务、财务的独立性。</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2、避免同业竞争承诺：在作为本公司的股东期间，承诺人及承</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诺人控制的其他公司、企业或者其他经济组织等关联方将避免从事</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任何与本公司和创世漫道及其控制的其他公司、企业或者其他经济</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组织相同或相似且构成或可能构成竞争关系的业务，亦不从事任何</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可能损害本公司和创世漫道及其控制的其他公司、企业或者其他经</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济组织利益的活动。如承诺人及承诺人控制的其他公司、企业或者</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其他经济组织遇到本公司和创世漫道及其控制的其他公司、企业或</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者其他经济组织主营业务范围内的业务机会，承诺人及承诺人控制</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的其他公司、企业或者其他经济组织将该等合作机会让予本公司和</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1402" w:hRule="exact"/>
        </w:trPr>
        <w:tc>
          <w:tcPr>
            <w:tcW w:w="619" w:type="dxa"/>
            <w:tcBorders>
              <w:top w:val="nil" w:sz="6" w:space="0" w:color="auto"/>
              <w:left w:val="single" w:sz="4" w:space="0" w:color="000000"/>
              <w:bottom w:val="nil" w:sz="6" w:space="0" w:color="auto"/>
              <w:right w:val="single" w:sz="4" w:space="0" w:color="000000"/>
            </w:tcBorders>
          </w:tcPr>
          <w:p>
            <w:pPr>
              <w:pStyle w:val="TableParagraph"/>
              <w:spacing w:line="234" w:lineRule="exact" w:before="88"/>
              <w:ind w:left="103" w:right="0"/>
              <w:jc w:val="both"/>
              <w:rPr>
                <w:rFonts w:ascii="宋体" w:hAnsi="宋体" w:cs="宋体" w:eastAsia="宋体" w:hint="default"/>
                <w:sz w:val="18"/>
                <w:szCs w:val="18"/>
              </w:rPr>
            </w:pPr>
            <w:r>
              <w:rPr>
                <w:rFonts w:ascii="宋体"/>
                <w:sz w:val="18"/>
              </w:rPr>
              <w:t>2014</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101"/>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3"/>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0"/>
                <w:sz w:val="18"/>
                <w:szCs w:val="18"/>
              </w:rPr>
              <w:t>谷、</w:t>
            </w:r>
            <w:r>
              <w:rPr>
                <w:rFonts w:ascii="宋体" w:hAnsi="宋体" w:cs="宋体" w:eastAsia="宋体" w:hint="default"/>
                <w:spacing w:val="-69"/>
                <w:sz w:val="18"/>
                <w:szCs w:val="18"/>
              </w:rPr>
              <w:t> </w:t>
            </w:r>
            <w:r>
              <w:rPr>
                <w:rFonts w:ascii="宋体" w:hAnsi="宋体" w:cs="宋体" w:eastAsia="宋体" w:hint="default"/>
                <w:sz w:val="18"/>
                <w:szCs w:val="18"/>
              </w:rPr>
              <w:t>博</w:t>
            </w:r>
            <w:r>
              <w:rPr>
                <w:rFonts w:ascii="宋体" w:hAnsi="宋体" w:cs="宋体" w:eastAsia="宋体" w:hint="default"/>
                <w:sz w:val="18"/>
                <w:szCs w:val="18"/>
              </w:rPr>
              <w:t> 升</w:t>
            </w:r>
            <w:r>
              <w:rPr>
                <w:rFonts w:ascii="宋体" w:hAnsi="宋体" w:cs="宋体" w:eastAsia="宋体" w:hint="default"/>
                <w:spacing w:val="43"/>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0"/>
                <w:sz w:val="18"/>
                <w:szCs w:val="18"/>
              </w:rPr>
              <w:t>势、</w:t>
            </w:r>
            <w:r>
              <w:rPr>
                <w:rFonts w:ascii="宋体" w:hAnsi="宋体" w:cs="宋体" w:eastAsia="宋体" w:hint="default"/>
                <w:spacing w:val="-69"/>
                <w:sz w:val="18"/>
                <w:szCs w:val="18"/>
              </w:rPr>
              <w:t> </w:t>
            </w:r>
            <w:r>
              <w:rPr>
                <w:rFonts w:ascii="宋体" w:hAnsi="宋体" w:cs="宋体" w:eastAsia="宋体" w:hint="default"/>
                <w:sz w:val="18"/>
                <w:szCs w:val="18"/>
              </w:rPr>
              <w:t>峰</w:t>
            </w:r>
            <w:r>
              <w:rPr>
                <w:rFonts w:ascii="宋体" w:hAnsi="宋体" w:cs="宋体" w:eastAsia="宋体" w:hint="default"/>
                <w:sz w:val="18"/>
                <w:szCs w:val="18"/>
              </w:rPr>
              <w:t> 幽投资</w:t>
            </w:r>
          </w:p>
        </w:tc>
        <w:tc>
          <w:tcPr>
            <w:tcW w:w="61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03" w:right="98"/>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0"/>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创世漫道及其控制的其他公司、企业或者其他经济组织。承诺人若</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违反上述承诺，将承担因此而给本公司、创世漫道及其控制的其他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公司、企业或者其他经济组织造成的一切损失。</w:t>
            </w:r>
          </w:p>
          <w:p>
            <w:pPr>
              <w:pStyle w:val="TableParagraph"/>
              <w:spacing w:line="232" w:lineRule="exact"/>
              <w:ind w:left="103" w:right="12" w:firstLine="360"/>
              <w:jc w:val="left"/>
              <w:rPr>
                <w:rFonts w:ascii="宋体" w:hAnsi="宋体" w:cs="宋体" w:eastAsia="宋体" w:hint="default"/>
                <w:sz w:val="18"/>
                <w:szCs w:val="18"/>
              </w:rPr>
            </w:pPr>
            <w:r>
              <w:rPr>
                <w:rFonts w:ascii="宋体" w:hAnsi="宋体" w:cs="宋体" w:eastAsia="宋体" w:hint="default"/>
                <w:spacing w:val="-5"/>
                <w:sz w:val="18"/>
                <w:szCs w:val="18"/>
              </w:rPr>
              <w:t>3、减少和规范关联交易承诺：承诺人在作为本公司的股东期间，</w:t>
            </w:r>
            <w:r>
              <w:rPr>
                <w:rFonts w:ascii="宋体" w:hAnsi="宋体" w:cs="宋体" w:eastAsia="宋体" w:hint="default"/>
                <w:sz w:val="18"/>
                <w:szCs w:val="18"/>
              </w:rPr>
              <w:t> 承诺人及承诺人控制的其他公司、企业或者其他经济组织将尽量减</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少并规范与本公司、创世漫道及其控制的其他公司、企业或者其他</w:t>
            </w:r>
          </w:p>
        </w:tc>
        <w:tc>
          <w:tcPr>
            <w:tcW w:w="804"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10"/>
                <w:sz w:val="18"/>
                <w:szCs w:val="18"/>
              </w:rPr>
              <w:t> </w:t>
            </w:r>
            <w:r>
              <w:rPr>
                <w:rFonts w:ascii="宋体" w:hAnsi="宋体" w:cs="宋体" w:eastAsia="宋体" w:hint="default"/>
                <w:sz w:val="18"/>
                <w:szCs w:val="18"/>
              </w:rPr>
              <w:t>守</w:t>
            </w:r>
          </w:p>
          <w:p>
            <w:pPr>
              <w:pStyle w:val="TableParagraph"/>
              <w:spacing w:line="316" w:lineRule="auto" w:before="76"/>
              <w:ind w:left="74" w:right="101"/>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10"/>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经济组织之间的关联交易。承诺人对于无法避免或有合理原因而发</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生的与本公司或创世漫道之间的关联交易，承诺人及承诺人控制的</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其他公司、企业或者其他经济组织将遵循市场原则以公允、合理的</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市场价格进行，根据有关法律、法规及规范性文件的规定履行关联</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交易决策程序，依法履行信息披露义务和办理有关报批程序，不利</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用股东优势地位损害本公司及其他股东的合法权益。承诺人不会利</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用拥有的本公司股东权利操纵、指使公司或者公司董事、监事、高</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级管理人员，使得公司以不公平的条件，提供或者接受资金、商品、</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服务或者其他资产，或从事任何损害公司利益的行为。承诺人若违</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619"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614" w:type="dxa"/>
            <w:gridSpan w:val="2"/>
            <w:tcBorders>
              <w:top w:val="nil" w:sz="6" w:space="0" w:color="auto"/>
              <w:left w:val="single" w:sz="4" w:space="0" w:color="000000"/>
              <w:bottom w:val="nil" w:sz="6" w:space="0" w:color="auto"/>
              <w:right w:val="single" w:sz="4" w:space="0" w:color="000000"/>
            </w:tcBorders>
          </w:tcPr>
          <w:p>
            <w:pPr/>
          </w:p>
        </w:tc>
        <w:tc>
          <w:tcPr>
            <w:tcW w:w="5482"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反上述承诺，将承担因此而给本公司、创世漫道及其控制的其他公</w:t>
            </w:r>
          </w:p>
        </w:tc>
        <w:tc>
          <w:tcPr>
            <w:tcW w:w="804" w:type="dxa"/>
            <w:gridSpan w:val="3"/>
            <w:tcBorders>
              <w:top w:val="nil" w:sz="6" w:space="0" w:color="auto"/>
              <w:left w:val="single" w:sz="4" w:space="0" w:color="000000"/>
              <w:bottom w:val="nil" w:sz="6" w:space="0" w:color="auto"/>
              <w:right w:val="single" w:sz="4" w:space="0" w:color="000000"/>
            </w:tcBorders>
          </w:tcPr>
          <w:p>
            <w:pPr/>
          </w:p>
        </w:tc>
        <w:tc>
          <w:tcPr>
            <w:tcW w:w="672" w:type="dxa"/>
            <w:gridSpan w:val="2"/>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619"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614" w:type="dxa"/>
            <w:gridSpan w:val="2"/>
            <w:tcBorders>
              <w:top w:val="nil" w:sz="6" w:space="0" w:color="auto"/>
              <w:left w:val="single" w:sz="4" w:space="0" w:color="000000"/>
              <w:bottom w:val="single" w:sz="4" w:space="0" w:color="000000"/>
              <w:right w:val="single" w:sz="4" w:space="0" w:color="000000"/>
            </w:tcBorders>
          </w:tcPr>
          <w:p>
            <w:pPr/>
          </w:p>
        </w:tc>
        <w:tc>
          <w:tcPr>
            <w:tcW w:w="5482" w:type="dxa"/>
            <w:gridSpan w:val="4"/>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司、企业或者其他经济组织造成的一切损失。</w:t>
            </w:r>
          </w:p>
        </w:tc>
        <w:tc>
          <w:tcPr>
            <w:tcW w:w="804" w:type="dxa"/>
            <w:gridSpan w:val="3"/>
            <w:tcBorders>
              <w:top w:val="nil" w:sz="6" w:space="0" w:color="auto"/>
              <w:left w:val="single" w:sz="4" w:space="0" w:color="000000"/>
              <w:bottom w:val="single" w:sz="4" w:space="0" w:color="000000"/>
              <w:right w:val="single" w:sz="4" w:space="0" w:color="000000"/>
            </w:tcBorders>
          </w:tcPr>
          <w:p>
            <w:pPr/>
          </w:p>
        </w:tc>
        <w:tc>
          <w:tcPr>
            <w:tcW w:w="672" w:type="dxa"/>
            <w:gridSpan w:val="2"/>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4" w:footer="1000" w:top="1140" w:bottom="1200" w:left="1080" w:right="960"/>
        </w:sectPr>
      </w:pPr>
    </w:p>
    <w:p>
      <w:pPr>
        <w:spacing w:line="240" w:lineRule="auto" w:before="6"/>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40"/>
        <w:gridCol w:w="799"/>
        <w:gridCol w:w="593"/>
        <w:gridCol w:w="94"/>
        <w:gridCol w:w="4961"/>
        <w:gridCol w:w="420"/>
        <w:gridCol w:w="146"/>
        <w:gridCol w:w="286"/>
        <w:gridCol w:w="365"/>
        <w:gridCol w:w="485"/>
        <w:gridCol w:w="173"/>
        <w:gridCol w:w="677"/>
      </w:tblGrid>
      <w:tr>
        <w:trPr>
          <w:trHeight w:val="322"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165"/>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82" w:right="13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4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32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17" w:right="168"/>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20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219"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both"/>
              <w:rPr>
                <w:rFonts w:ascii="宋体" w:hAnsi="宋体" w:cs="宋体" w:eastAsia="宋体" w:hint="default"/>
                <w:sz w:val="18"/>
                <w:szCs w:val="18"/>
              </w:rPr>
            </w:pPr>
            <w:r>
              <w:rPr>
                <w:rFonts w:ascii="宋体"/>
                <w:sz w:val="18"/>
              </w:rPr>
              <w:t>2014</w:t>
            </w:r>
          </w:p>
          <w:p>
            <w:pPr>
              <w:pStyle w:val="TableParagraph"/>
              <w:spacing w:line="316" w:lineRule="auto" w:before="76"/>
              <w:ind w:left="103" w:right="1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34"/>
              <w:ind w:left="82" w:right="122"/>
              <w:jc w:val="both"/>
              <w:rPr>
                <w:rFonts w:ascii="宋体" w:hAnsi="宋体" w:cs="宋体" w:eastAsia="宋体" w:hint="default"/>
                <w:sz w:val="18"/>
                <w:szCs w:val="18"/>
              </w:rPr>
            </w:pPr>
            <w:r>
              <w:rPr>
                <w:rFonts w:ascii="宋体" w:hAnsi="宋体" w:cs="宋体" w:eastAsia="宋体" w:hint="default"/>
                <w:spacing w:val="14"/>
                <w:sz w:val="18"/>
                <w:szCs w:val="18"/>
              </w:rPr>
              <w:t>中兆投</w:t>
            </w:r>
            <w:r>
              <w:rPr>
                <w:rFonts w:ascii="宋体" w:hAnsi="宋体" w:cs="宋体" w:eastAsia="宋体" w:hint="default"/>
                <w:sz w:val="18"/>
                <w:szCs w:val="18"/>
              </w:rPr>
              <w:t> </w:t>
            </w:r>
            <w:r>
              <w:rPr>
                <w:rFonts w:ascii="宋体" w:hAnsi="宋体" w:cs="宋体" w:eastAsia="宋体" w:hint="default"/>
                <w:spacing w:val="10"/>
                <w:sz w:val="18"/>
                <w:szCs w:val="18"/>
              </w:rPr>
              <w:t>资、</w:t>
            </w:r>
            <w:r>
              <w:rPr>
                <w:rFonts w:ascii="宋体" w:hAnsi="宋体" w:cs="宋体" w:eastAsia="宋体" w:hint="default"/>
                <w:spacing w:val="-69"/>
                <w:sz w:val="18"/>
                <w:szCs w:val="18"/>
              </w:rPr>
              <w:t> </w:t>
            </w:r>
            <w:r>
              <w:rPr>
                <w:rFonts w:ascii="宋体" w:hAnsi="宋体" w:cs="宋体" w:eastAsia="宋体" w:hint="default"/>
                <w:sz w:val="18"/>
                <w:szCs w:val="18"/>
              </w:rPr>
              <w:t>原</w:t>
            </w:r>
            <w:r>
              <w:rPr>
                <w:rFonts w:ascii="宋体" w:hAnsi="宋体" w:cs="宋体" w:eastAsia="宋体" w:hint="default"/>
                <w:sz w:val="18"/>
                <w:szCs w:val="18"/>
              </w:rPr>
              <w:t> </w:t>
            </w:r>
            <w:r>
              <w:rPr>
                <w:rFonts w:ascii="宋体" w:hAnsi="宋体" w:cs="宋体" w:eastAsia="宋体" w:hint="default"/>
                <w:spacing w:val="14"/>
                <w:sz w:val="18"/>
                <w:szCs w:val="18"/>
              </w:rPr>
              <w:t>实际控</w:t>
            </w:r>
            <w:r>
              <w:rPr>
                <w:rFonts w:ascii="宋体" w:hAnsi="宋体" w:cs="宋体" w:eastAsia="宋体" w:hint="default"/>
                <w:sz w:val="18"/>
                <w:szCs w:val="18"/>
              </w:rPr>
              <w:t> </w:t>
            </w:r>
            <w:r>
              <w:rPr>
                <w:rFonts w:ascii="宋体" w:hAnsi="宋体" w:cs="宋体" w:eastAsia="宋体" w:hint="default"/>
                <w:spacing w:val="14"/>
                <w:sz w:val="18"/>
                <w:szCs w:val="18"/>
              </w:rPr>
              <w:t>制人黄</w:t>
            </w:r>
            <w:r>
              <w:rPr>
                <w:rFonts w:ascii="宋体" w:hAnsi="宋体" w:cs="宋体" w:eastAsia="宋体" w:hint="default"/>
                <w:sz w:val="18"/>
                <w:szCs w:val="18"/>
              </w:rPr>
              <w:t> </w:t>
            </w:r>
            <w:r>
              <w:rPr>
                <w:rFonts w:ascii="宋体" w:hAnsi="宋体" w:cs="宋体" w:eastAsia="宋体" w:hint="default"/>
                <w:spacing w:val="14"/>
                <w:sz w:val="18"/>
                <w:szCs w:val="18"/>
              </w:rPr>
              <w:t>茂如先</w:t>
            </w:r>
            <w:r>
              <w:rPr>
                <w:rFonts w:ascii="宋体" w:hAnsi="宋体" w:cs="宋体" w:eastAsia="宋体" w:hint="default"/>
                <w:sz w:val="18"/>
                <w:szCs w:val="18"/>
              </w:rPr>
              <w:t> 生</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7" w:lineRule="auto"/>
              <w:ind w:left="82" w:right="98"/>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0"/>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4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2" w:firstLine="360"/>
              <w:jc w:val="left"/>
              <w:rPr>
                <w:rFonts w:ascii="宋体" w:hAnsi="宋体" w:cs="宋体" w:eastAsia="宋体" w:hint="default"/>
                <w:sz w:val="18"/>
                <w:szCs w:val="18"/>
              </w:rPr>
            </w:pPr>
            <w:r>
              <w:rPr>
                <w:rFonts w:ascii="宋体" w:hAnsi="宋体" w:cs="宋体" w:eastAsia="宋体" w:hint="default"/>
                <w:sz w:val="18"/>
                <w:szCs w:val="18"/>
              </w:rPr>
              <w:t>1、避免同业竞争承诺：承诺人在作为本公司的股东/实际控制 人期间，承诺人及承诺人控制的其他公司、企业或者其他经济组织</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7"/>
                <w:sz w:val="18"/>
                <w:szCs w:val="18"/>
              </w:rPr>
              <w:t>等关联方将避免从事任何与本公司和创世漫道及其控制的其他公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司、企业或者其他经济组织相同或相似且构成或可能构成竞争关系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的业务，亦不从事任何可能损害本公司和创世漫道及其控制的其他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公司、企业或者其他经济组织利益的活动。如承诺人及承诺人控制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的其他公司、企业或者其他经济组织遇到本公司和创世漫道及其控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制的其他公司、企业或者其他经济组织主营业务范围内的业务机会，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承诺人及承诺人控制的其他公司、企业或者其他经济组织将该等合</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作机会让予本公司或创世漫道及其控制的其他公司、企业或者其他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经济组织。承诺人若违反上述承诺，将承担因此而给本公司和创世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漫道及其控制的其他公司、企业或者其他经济组织造成的一切损失。</w:t>
            </w:r>
          </w:p>
          <w:p>
            <w:pPr>
              <w:pStyle w:val="TableParagraph"/>
              <w:spacing w:line="237" w:lineRule="auto" w:before="2"/>
              <w:ind w:left="103" w:right="12" w:firstLine="360"/>
              <w:jc w:val="left"/>
              <w:rPr>
                <w:rFonts w:ascii="宋体" w:hAnsi="宋体" w:cs="宋体" w:eastAsia="宋体" w:hint="default"/>
                <w:sz w:val="18"/>
                <w:szCs w:val="18"/>
              </w:rPr>
            </w:pPr>
            <w:r>
              <w:rPr>
                <w:rFonts w:ascii="宋体" w:hAnsi="宋体" w:cs="宋体" w:eastAsia="宋体" w:hint="default"/>
                <w:sz w:val="18"/>
                <w:szCs w:val="18"/>
              </w:rPr>
              <w:t>2、减少和规范关联交易承诺：承诺中兆投资、黄茂如与其控股 公司或拥有实际控制权或重大影响的其他公司不会利用拥有的本公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司股东权利或者实际控制能力操纵、指使公司或者公司董事、监事、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高级管理人员，使得公司以不公平的条件，提供或者接受资金、商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品、服务或者其他资产，或从事任何损害公司利益的行为。</w:t>
            </w:r>
          </w:p>
        </w:tc>
        <w:tc>
          <w:tcPr>
            <w:tcW w:w="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3"/>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w:t>
            </w:r>
            <w:r>
              <w:rPr>
                <w:rFonts w:ascii="宋体" w:hAnsi="宋体" w:cs="宋体" w:eastAsia="宋体" w:hint="default"/>
                <w:spacing w:val="10"/>
                <w:sz w:val="18"/>
                <w:szCs w:val="18"/>
              </w:rPr>
              <w:t> </w:t>
            </w:r>
            <w:r>
              <w:rPr>
                <w:rFonts w:ascii="宋体" w:hAnsi="宋体" w:cs="宋体" w:eastAsia="宋体" w:hint="default"/>
                <w:sz w:val="18"/>
                <w:szCs w:val="18"/>
              </w:rPr>
              <w:t>守</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10"/>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r>
      <w:tr>
        <w:trPr>
          <w:trHeight w:val="322"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607"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165"/>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82" w:right="13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37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37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37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1344"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53"/>
              <w:ind w:left="103" w:right="0"/>
              <w:jc w:val="both"/>
              <w:rPr>
                <w:rFonts w:ascii="宋体" w:hAnsi="宋体" w:cs="宋体" w:eastAsia="宋体" w:hint="default"/>
                <w:sz w:val="18"/>
                <w:szCs w:val="18"/>
              </w:rPr>
            </w:pPr>
            <w:r>
              <w:rPr>
                <w:rFonts w:ascii="宋体"/>
                <w:sz w:val="18"/>
              </w:rPr>
              <w:t>2014</w:t>
            </w:r>
          </w:p>
          <w:p>
            <w:pPr>
              <w:pStyle w:val="TableParagraph"/>
              <w:spacing w:line="232" w:lineRule="exact" w:before="24"/>
              <w:ind w:left="103" w:right="1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6"/>
              <w:ind w:left="82" w:right="122"/>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3"/>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0"/>
                <w:sz w:val="18"/>
                <w:szCs w:val="18"/>
              </w:rPr>
              <w:t>谷、</w:t>
            </w:r>
            <w:r>
              <w:rPr>
                <w:rFonts w:ascii="宋体" w:hAnsi="宋体" w:cs="宋体" w:eastAsia="宋体" w:hint="default"/>
                <w:spacing w:val="-69"/>
                <w:sz w:val="18"/>
                <w:szCs w:val="18"/>
              </w:rPr>
              <w:t> </w:t>
            </w:r>
            <w:r>
              <w:rPr>
                <w:rFonts w:ascii="宋体" w:hAnsi="宋体" w:cs="宋体" w:eastAsia="宋体" w:hint="default"/>
                <w:sz w:val="18"/>
                <w:szCs w:val="18"/>
              </w:rPr>
              <w:t>博</w:t>
            </w:r>
            <w:r>
              <w:rPr>
                <w:rFonts w:ascii="宋体" w:hAnsi="宋体" w:cs="宋体" w:eastAsia="宋体" w:hint="default"/>
                <w:sz w:val="18"/>
                <w:szCs w:val="18"/>
              </w:rPr>
              <w:t> 升</w:t>
            </w:r>
            <w:r>
              <w:rPr>
                <w:rFonts w:ascii="宋体" w:hAnsi="宋体" w:cs="宋体" w:eastAsia="宋体" w:hint="default"/>
                <w:spacing w:val="43"/>
                <w:sz w:val="18"/>
                <w:szCs w:val="18"/>
              </w:rPr>
              <w:t> </w:t>
            </w:r>
            <w:r>
              <w:rPr>
                <w:rFonts w:ascii="宋体" w:hAnsi="宋体" w:cs="宋体" w:eastAsia="宋体" w:hint="default"/>
                <w:sz w:val="18"/>
                <w:szCs w:val="18"/>
              </w:rPr>
              <w:t>优</w:t>
            </w:r>
            <w:r>
              <w:rPr>
                <w:rFonts w:ascii="宋体" w:hAnsi="宋体" w:cs="宋体" w:eastAsia="宋体" w:hint="default"/>
                <w:sz w:val="18"/>
                <w:szCs w:val="18"/>
              </w:rPr>
              <w:t> </w:t>
            </w:r>
            <w:r>
              <w:rPr>
                <w:rFonts w:ascii="宋体" w:hAnsi="宋体" w:cs="宋体" w:eastAsia="宋体" w:hint="default"/>
                <w:spacing w:val="10"/>
                <w:sz w:val="18"/>
                <w:szCs w:val="18"/>
              </w:rPr>
              <w:t>势、</w:t>
            </w:r>
            <w:r>
              <w:rPr>
                <w:rFonts w:ascii="宋体" w:hAnsi="宋体" w:cs="宋体" w:eastAsia="宋体" w:hint="default"/>
                <w:spacing w:val="-69"/>
                <w:sz w:val="18"/>
                <w:szCs w:val="18"/>
              </w:rPr>
              <w:t> </w:t>
            </w:r>
            <w:r>
              <w:rPr>
                <w:rFonts w:ascii="宋体" w:hAnsi="宋体" w:cs="宋体" w:eastAsia="宋体" w:hint="default"/>
                <w:sz w:val="18"/>
                <w:szCs w:val="18"/>
              </w:rPr>
              <w:t>峰</w:t>
            </w:r>
            <w:r>
              <w:rPr>
                <w:rFonts w:ascii="宋体" w:hAnsi="宋体" w:cs="宋体" w:eastAsia="宋体" w:hint="default"/>
                <w:sz w:val="18"/>
                <w:szCs w:val="18"/>
              </w:rPr>
              <w:t> 幽投资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06"/>
              <w:ind w:left="82" w:right="98"/>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0"/>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37" w:lineRule="auto"/>
              <w:ind w:left="103" w:right="98" w:firstLine="360"/>
              <w:jc w:val="both"/>
              <w:rPr>
                <w:rFonts w:ascii="宋体" w:hAnsi="宋体" w:cs="宋体" w:eastAsia="宋体" w:hint="default"/>
                <w:sz w:val="18"/>
                <w:szCs w:val="18"/>
              </w:rPr>
            </w:pPr>
            <w:r>
              <w:rPr>
                <w:rFonts w:ascii="宋体" w:hAnsi="宋体" w:cs="宋体" w:eastAsia="宋体" w:hint="default"/>
                <w:spacing w:val="6"/>
                <w:sz w:val="18"/>
                <w:szCs w:val="18"/>
              </w:rPr>
              <w:t>承诺方为本次发行股份及支付现金购买资产并配套募集</w:t>
            </w:r>
            <w:r>
              <w:rPr>
                <w:rFonts w:ascii="宋体" w:hAnsi="宋体" w:cs="宋体" w:eastAsia="宋体" w:hint="default"/>
                <w:sz w:val="18"/>
                <w:szCs w:val="18"/>
              </w:rPr>
              <w:t> </w:t>
            </w:r>
            <w:r>
              <w:rPr>
                <w:rFonts w:ascii="宋体" w:hAnsi="宋体" w:cs="宋体" w:eastAsia="宋体" w:hint="default"/>
                <w:spacing w:val="-1"/>
                <w:sz w:val="18"/>
                <w:szCs w:val="18"/>
              </w:rPr>
              <w:t>资金事宜所提供的有关信息真实、准确和完整，不存在任何虚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假记载、误导性陈述或者重大遗漏，承诺方同意对所提供信息</w:t>
            </w:r>
            <w:r>
              <w:rPr>
                <w:rFonts w:ascii="宋体" w:hAnsi="宋体" w:cs="宋体" w:eastAsia="宋体" w:hint="default"/>
                <w:sz w:val="18"/>
                <w:szCs w:val="18"/>
              </w:rPr>
              <w:t> 的真实性、准确性和完整性承担法律责任。</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7"/>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98"/>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42"/>
                <w:sz w:val="18"/>
                <w:szCs w:val="18"/>
              </w:rPr>
              <w:t> </w:t>
            </w:r>
            <w:r>
              <w:rPr>
                <w:rFonts w:ascii="宋体" w:hAnsi="宋体" w:cs="宋体" w:eastAsia="宋体" w:hint="default"/>
                <w:sz w:val="18"/>
                <w:szCs w:val="18"/>
              </w:rPr>
              <w:t>常</w:t>
            </w:r>
            <w:r>
              <w:rPr>
                <w:rFonts w:ascii="宋体" w:hAnsi="宋体" w:cs="宋体" w:eastAsia="宋体" w:hint="default"/>
                <w:spacing w:val="-42"/>
                <w:sz w:val="18"/>
                <w:szCs w:val="18"/>
              </w:rPr>
              <w:t> </w:t>
            </w:r>
            <w:r>
              <w:rPr>
                <w:rFonts w:ascii="宋体" w:hAnsi="宋体" w:cs="宋体" w:eastAsia="宋体" w:hint="default"/>
                <w:sz w:val="18"/>
                <w:szCs w:val="18"/>
              </w:rPr>
              <w:t>履</w:t>
            </w:r>
            <w:r>
              <w:rPr>
                <w:rFonts w:ascii="宋体" w:hAnsi="宋体" w:cs="宋体" w:eastAsia="宋体" w:hint="default"/>
                <w:sz w:val="18"/>
                <w:szCs w:val="18"/>
              </w:rPr>
              <w:t> 行。</w:t>
            </w:r>
          </w:p>
        </w:tc>
      </w:tr>
      <w:tr>
        <w:trPr>
          <w:trHeight w:val="341"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165"/>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82" w:right="13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37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37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37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1673"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both"/>
              <w:rPr>
                <w:rFonts w:ascii="宋体" w:hAnsi="宋体" w:cs="宋体" w:eastAsia="宋体" w:hint="default"/>
                <w:sz w:val="18"/>
                <w:szCs w:val="18"/>
              </w:rPr>
            </w:pPr>
            <w:r>
              <w:rPr>
                <w:rFonts w:ascii="宋体"/>
                <w:sz w:val="18"/>
              </w:rPr>
              <w:t>2014</w:t>
            </w:r>
          </w:p>
          <w:p>
            <w:pPr>
              <w:pStyle w:val="TableParagraph"/>
              <w:spacing w:line="316" w:lineRule="auto" w:before="76"/>
              <w:ind w:left="103" w:right="1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重</w:t>
            </w:r>
            <w:r>
              <w:rPr>
                <w:rFonts w:ascii="宋体" w:hAnsi="宋体" w:cs="宋体" w:eastAsia="宋体" w:hint="default"/>
                <w:sz w:val="18"/>
                <w:szCs w:val="18"/>
              </w:rPr>
              <w:t> 组</w:t>
            </w:r>
            <w:r>
              <w:rPr>
                <w:rFonts w:ascii="宋体" w:hAnsi="宋体" w:cs="宋体" w:eastAsia="宋体" w:hint="default"/>
                <w:spacing w:val="-47"/>
                <w:sz w:val="18"/>
                <w:szCs w:val="18"/>
              </w:rPr>
              <w:t> </w:t>
            </w:r>
            <w:r>
              <w:rPr>
                <w:rFonts w:ascii="宋体" w:hAnsi="宋体" w:cs="宋体" w:eastAsia="宋体" w:hint="default"/>
                <w:sz w:val="18"/>
                <w:szCs w:val="18"/>
              </w:rPr>
              <w:t>时</w:t>
            </w:r>
            <w:r>
              <w:rPr>
                <w:rFonts w:ascii="宋体" w:hAnsi="宋体" w:cs="宋体" w:eastAsia="宋体" w:hint="default"/>
                <w:sz w:val="18"/>
                <w:szCs w:val="18"/>
              </w:rPr>
              <w:t> 所</w:t>
            </w:r>
            <w:r>
              <w:rPr>
                <w:rFonts w:ascii="宋体" w:hAnsi="宋体" w:cs="宋体" w:eastAsia="宋体" w:hint="default"/>
                <w:spacing w:val="-4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82" w:right="122"/>
              <w:jc w:val="both"/>
              <w:rPr>
                <w:rFonts w:ascii="宋体" w:hAnsi="宋体" w:cs="宋体" w:eastAsia="宋体" w:hint="default"/>
                <w:sz w:val="18"/>
                <w:szCs w:val="18"/>
              </w:rPr>
            </w:pPr>
            <w:r>
              <w:rPr>
                <w:rFonts w:ascii="宋体" w:hAnsi="宋体" w:cs="宋体" w:eastAsia="宋体" w:hint="default"/>
                <w:sz w:val="18"/>
                <w:szCs w:val="18"/>
              </w:rPr>
              <w:t>鹰</w:t>
            </w:r>
            <w:r>
              <w:rPr>
                <w:rFonts w:ascii="宋体" w:hAnsi="宋体" w:cs="宋体" w:eastAsia="宋体" w:hint="default"/>
                <w:spacing w:val="43"/>
                <w:sz w:val="18"/>
                <w:szCs w:val="18"/>
              </w:rPr>
              <w:t> </w:t>
            </w:r>
            <w:r>
              <w:rPr>
                <w:rFonts w:ascii="宋体" w:hAnsi="宋体" w:cs="宋体" w:eastAsia="宋体" w:hint="default"/>
                <w:sz w:val="18"/>
                <w:szCs w:val="18"/>
              </w:rPr>
              <w:t>溪</w:t>
            </w:r>
            <w:r>
              <w:rPr>
                <w:rFonts w:ascii="宋体" w:hAnsi="宋体" w:cs="宋体" w:eastAsia="宋体" w:hint="default"/>
                <w:sz w:val="18"/>
                <w:szCs w:val="18"/>
              </w:rPr>
              <w:t> </w:t>
            </w:r>
            <w:r>
              <w:rPr>
                <w:rFonts w:ascii="宋体" w:hAnsi="宋体" w:cs="宋体" w:eastAsia="宋体" w:hint="default"/>
                <w:spacing w:val="10"/>
                <w:sz w:val="18"/>
                <w:szCs w:val="18"/>
              </w:rPr>
              <w:t>谷、</w:t>
            </w:r>
            <w:r>
              <w:rPr>
                <w:rFonts w:ascii="宋体" w:hAnsi="宋体" w:cs="宋体" w:eastAsia="宋体" w:hint="default"/>
                <w:spacing w:val="-69"/>
                <w:sz w:val="18"/>
                <w:szCs w:val="18"/>
              </w:rPr>
              <w:t> </w:t>
            </w:r>
            <w:r>
              <w:rPr>
                <w:rFonts w:ascii="宋体" w:hAnsi="宋体" w:cs="宋体" w:eastAsia="宋体" w:hint="default"/>
                <w:sz w:val="18"/>
                <w:szCs w:val="18"/>
              </w:rPr>
              <w:t>博</w:t>
            </w:r>
            <w:r>
              <w:rPr>
                <w:rFonts w:ascii="宋体" w:hAnsi="宋体" w:cs="宋体" w:eastAsia="宋体" w:hint="default"/>
                <w:sz w:val="18"/>
                <w:szCs w:val="18"/>
              </w:rPr>
              <w:t> 升优势</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82" w:right="98"/>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50"/>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50"/>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103" w:right="98" w:firstLine="360"/>
              <w:jc w:val="both"/>
              <w:rPr>
                <w:rFonts w:ascii="宋体" w:hAnsi="宋体" w:cs="宋体" w:eastAsia="宋体" w:hint="default"/>
                <w:sz w:val="18"/>
                <w:szCs w:val="18"/>
              </w:rPr>
            </w:pPr>
            <w:r>
              <w:rPr>
                <w:rFonts w:ascii="宋体" w:hAnsi="宋体" w:cs="宋体" w:eastAsia="宋体" w:hint="default"/>
                <w:spacing w:val="6"/>
                <w:sz w:val="18"/>
                <w:szCs w:val="18"/>
              </w:rPr>
              <w:t>如果创世漫道因为本次交易前即已存在的事实导致在工</w:t>
            </w:r>
            <w:r>
              <w:rPr>
                <w:rFonts w:ascii="宋体" w:hAnsi="宋体" w:cs="宋体" w:eastAsia="宋体" w:hint="default"/>
                <w:sz w:val="18"/>
                <w:szCs w:val="18"/>
              </w:rPr>
              <w:t> </w:t>
            </w:r>
            <w:r>
              <w:rPr>
                <w:rFonts w:ascii="宋体" w:hAnsi="宋体" w:cs="宋体" w:eastAsia="宋体" w:hint="default"/>
                <w:spacing w:val="-1"/>
                <w:sz w:val="18"/>
                <w:szCs w:val="18"/>
              </w:rPr>
              <w:t>商、税务、员工工资、社保、住房公积金、经营资质或行业主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管方面受到相关主管单位追缴费用或处罚的，本企业将向创世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漫道全额补偿创世漫道所有欠缴费用并承担本公司及创世漫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道因此遭受的一切损失。</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7"/>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98"/>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42"/>
                <w:sz w:val="18"/>
                <w:szCs w:val="18"/>
              </w:rPr>
              <w:t> </w:t>
            </w:r>
            <w:r>
              <w:rPr>
                <w:rFonts w:ascii="宋体" w:hAnsi="宋体" w:cs="宋体" w:eastAsia="宋体" w:hint="default"/>
                <w:sz w:val="18"/>
                <w:szCs w:val="18"/>
              </w:rPr>
              <w:t>常</w:t>
            </w:r>
            <w:r>
              <w:rPr>
                <w:rFonts w:ascii="宋体" w:hAnsi="宋体" w:cs="宋体" w:eastAsia="宋体" w:hint="default"/>
                <w:spacing w:val="-42"/>
                <w:sz w:val="18"/>
                <w:szCs w:val="18"/>
              </w:rPr>
              <w:t> </w:t>
            </w:r>
            <w:r>
              <w:rPr>
                <w:rFonts w:ascii="宋体" w:hAnsi="宋体" w:cs="宋体" w:eastAsia="宋体" w:hint="default"/>
                <w:sz w:val="18"/>
                <w:szCs w:val="18"/>
              </w:rPr>
              <w:t>履</w:t>
            </w:r>
            <w:r>
              <w:rPr>
                <w:rFonts w:ascii="宋体" w:hAnsi="宋体" w:cs="宋体" w:eastAsia="宋体" w:hint="default"/>
                <w:sz w:val="18"/>
                <w:szCs w:val="18"/>
              </w:rPr>
              <w:t> 行。</w:t>
            </w:r>
          </w:p>
        </w:tc>
      </w:tr>
      <w:tr>
        <w:trPr>
          <w:trHeight w:val="322"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6"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89"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750"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2"/>
              <w:ind w:left="103" w:right="0"/>
              <w:jc w:val="left"/>
              <w:rPr>
                <w:rFonts w:ascii="宋体" w:hAnsi="宋体" w:cs="宋体" w:eastAsia="宋体" w:hint="default"/>
                <w:sz w:val="18"/>
                <w:szCs w:val="18"/>
              </w:rPr>
            </w:pPr>
            <w:r>
              <w:rPr>
                <w:rFonts w:ascii="宋体"/>
                <w:sz w:val="18"/>
              </w:rPr>
              <w:t>2015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37"/>
                <w:sz w:val="18"/>
                <w:szCs w:val="18"/>
              </w:rPr>
              <w:t> </w:t>
            </w:r>
            <w:r>
              <w:rPr>
                <w:rFonts w:ascii="宋体" w:hAnsi="宋体" w:cs="宋体" w:eastAsia="宋体" w:hint="default"/>
                <w:sz w:val="18"/>
                <w:szCs w:val="18"/>
              </w:rPr>
              <w:t>资</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7"/>
                <w:sz w:val="18"/>
                <w:szCs w:val="18"/>
              </w:rPr>
              <w:t> </w:t>
            </w:r>
            <w:r>
              <w:rPr>
                <w:rFonts w:ascii="宋体" w:hAnsi="宋体" w:cs="宋体" w:eastAsia="宋体" w:hint="default"/>
                <w:sz w:val="18"/>
                <w:szCs w:val="18"/>
              </w:rPr>
              <w:t>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37"/>
                <w:sz w:val="18"/>
                <w:szCs w:val="18"/>
              </w:rPr>
              <w:t> </w:t>
            </w:r>
            <w:r>
              <w:rPr>
                <w:rFonts w:ascii="宋体" w:hAnsi="宋体" w:cs="宋体" w:eastAsia="宋体" w:hint="default"/>
                <w:sz w:val="18"/>
                <w:szCs w:val="18"/>
              </w:rPr>
              <w:t>时</w:t>
            </w:r>
          </w:p>
          <w:p>
            <w:pPr>
              <w:pStyle w:val="TableParagraph"/>
              <w:spacing w:line="232" w:lineRule="exact" w:before="24"/>
              <w:ind w:left="103" w:right="38"/>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37"/>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32" w:lineRule="exact"/>
              <w:ind w:left="166" w:right="38"/>
              <w:jc w:val="left"/>
              <w:rPr>
                <w:rFonts w:ascii="宋体" w:hAnsi="宋体" w:cs="宋体" w:eastAsia="宋体" w:hint="default"/>
                <w:sz w:val="18"/>
                <w:szCs w:val="18"/>
              </w:rPr>
            </w:pPr>
            <w:r>
              <w:rPr>
                <w:rFonts w:ascii="宋体" w:hAnsi="宋体" w:cs="宋体" w:eastAsia="宋体" w:hint="default"/>
                <w:spacing w:val="14"/>
                <w:sz w:val="18"/>
                <w:szCs w:val="18"/>
              </w:rPr>
              <w:t>中兆投</w:t>
            </w:r>
            <w:r>
              <w:rPr>
                <w:rFonts w:ascii="宋体" w:hAnsi="宋体" w:cs="宋体" w:eastAsia="宋体" w:hint="default"/>
                <w:sz w:val="18"/>
                <w:szCs w:val="18"/>
              </w:rPr>
              <w:t> 资</w:t>
            </w: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166" w:right="101"/>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42"/>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4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5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42"/>
              <w:ind w:left="103" w:right="9" w:firstLine="360"/>
              <w:jc w:val="left"/>
              <w:rPr>
                <w:rFonts w:ascii="宋体" w:hAnsi="宋体" w:cs="宋体" w:eastAsia="宋体" w:hint="default"/>
                <w:sz w:val="18"/>
                <w:szCs w:val="18"/>
              </w:rPr>
            </w:pPr>
            <w:r>
              <w:rPr>
                <w:rFonts w:ascii="宋体" w:hAnsi="宋体" w:cs="宋体" w:eastAsia="宋体" w:hint="default"/>
                <w:spacing w:val="-4"/>
                <w:sz w:val="18"/>
                <w:szCs w:val="18"/>
              </w:rPr>
              <w:t>信息真实性、准确性和完整性承诺：保证所提供的信息真实、准</w:t>
            </w:r>
            <w:r>
              <w:rPr>
                <w:rFonts w:ascii="宋体" w:hAnsi="宋体" w:cs="宋体" w:eastAsia="宋体" w:hint="default"/>
                <w:sz w:val="18"/>
                <w:szCs w:val="18"/>
              </w:rPr>
              <w:t> </w:t>
            </w:r>
            <w:r>
              <w:rPr>
                <w:rFonts w:ascii="宋体" w:hAnsi="宋体" w:cs="宋体" w:eastAsia="宋体" w:hint="default"/>
                <w:spacing w:val="-6"/>
                <w:sz w:val="18"/>
                <w:szCs w:val="18"/>
              </w:rPr>
              <w:t>确、完整，如因提供的信息存在虚假记载、误导性陈述或者重大遗漏，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给上市公司或者投资者造成损失的，将依法承担赔偿责任。如本次交</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易因涉嫌所提供或者披露的信息存在虚假记载、误导性陈述或者重大</w:t>
            </w:r>
            <w:r>
              <w:rPr>
                <w:rFonts w:ascii="宋体" w:hAnsi="宋体" w:cs="宋体" w:eastAsia="宋体" w:hint="default"/>
                <w:sz w:val="18"/>
                <w:szCs w:val="18"/>
              </w:rPr>
              <w:t> </w:t>
            </w:r>
            <w:r>
              <w:rPr>
                <w:rFonts w:ascii="宋体" w:hAnsi="宋体" w:cs="宋体" w:eastAsia="宋体" w:hint="default"/>
                <w:spacing w:val="-3"/>
                <w:sz w:val="18"/>
                <w:szCs w:val="18"/>
              </w:rPr>
              <w:t>遗漏，被司法机关立案侦查或者被中国证监会立案调查的，在案件调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查结论明确之前，承诺方将暂停转让在本公司拥有权益的股份。</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9</w:t>
            </w:r>
          </w:p>
          <w:p>
            <w:pPr>
              <w:pStyle w:val="TableParagraph"/>
              <w:spacing w:line="316" w:lineRule="auto" w:before="76"/>
              <w:ind w:left="103" w:right="11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30</w:t>
            </w:r>
            <w:r>
              <w:rPr>
                <w:rFonts w:ascii="宋体" w:hAnsi="宋体" w:cs="宋体" w:eastAsia="宋体" w:hint="default"/>
                <w:sz w:val="18"/>
                <w:szCs w:val="18"/>
              </w:rPr>
              <w:t> 日</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3"/>
              <w:ind w:left="103" w:right="101"/>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10"/>
                <w:sz w:val="18"/>
                <w:szCs w:val="18"/>
              </w:rPr>
              <w:t> </w:t>
            </w:r>
            <w:r>
              <w:rPr>
                <w:rFonts w:ascii="宋体" w:hAnsi="宋体" w:cs="宋体" w:eastAsia="宋体" w:hint="default"/>
                <w:sz w:val="18"/>
                <w:szCs w:val="18"/>
              </w:rPr>
              <w:t>常</w:t>
            </w:r>
            <w:r>
              <w:rPr>
                <w:rFonts w:ascii="宋体" w:hAnsi="宋体" w:cs="宋体" w:eastAsia="宋体" w:hint="default"/>
                <w:sz w:val="18"/>
                <w:szCs w:val="18"/>
              </w:rPr>
              <w:t> 履行</w:t>
            </w:r>
          </w:p>
        </w:tc>
      </w:tr>
      <w:tr>
        <w:trPr>
          <w:trHeight w:val="545" w:hRule="exact"/>
        </w:trPr>
        <w:tc>
          <w:tcPr>
            <w:tcW w:w="21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有固定期限或限期以及无固定期限的承诺均已履行</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40" w:lineRule="auto" w:before="0"/>
        <w:ind w:left="813" w:right="342"/>
        <w:jc w:val="left"/>
      </w:pPr>
      <w:r>
        <w:rPr/>
        <w:t>(二)</w:t>
      </w:r>
      <w:r>
        <w:rPr>
          <w:spacing w:val="83"/>
        </w:rPr>
        <w:t> </w:t>
      </w:r>
      <w:r>
        <w:rPr/>
        <w:t>被收购方长实通信原股东、实际控制人邹军在报告期内履行完毕及截至报告期末尚未履</w:t>
      </w:r>
    </w:p>
    <w:p>
      <w:pPr>
        <w:spacing w:after="0" w:line="240" w:lineRule="auto"/>
        <w:jc w:val="left"/>
        <w:sectPr>
          <w:footerReference w:type="default" r:id="rId31"/>
          <w:pgSz w:w="11910" w:h="16840"/>
          <w:pgMar w:footer="1000" w:header="884" w:top="1140" w:bottom="1200" w:left="1080" w:right="960"/>
          <w:pgNumType w:start="34"/>
        </w:sectPr>
      </w:pPr>
    </w:p>
    <w:p>
      <w:pPr>
        <w:pStyle w:val="BodyText"/>
        <w:spacing w:line="240" w:lineRule="auto" w:before="131"/>
        <w:ind w:left="393" w:right="1174"/>
        <w:jc w:val="left"/>
      </w:pPr>
      <w:r>
        <w:rPr/>
        <w:t>行完毕的承诺事项</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708"/>
        <w:gridCol w:w="821"/>
        <w:gridCol w:w="625"/>
        <w:gridCol w:w="3092"/>
        <w:gridCol w:w="850"/>
        <w:gridCol w:w="850"/>
        <w:gridCol w:w="708"/>
        <w:gridCol w:w="710"/>
        <w:gridCol w:w="698"/>
        <w:gridCol w:w="576"/>
      </w:tblGrid>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7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2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36" w:hRule="exact"/>
        </w:trPr>
        <w:tc>
          <w:tcPr>
            <w:tcW w:w="708"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309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spacing w:val="-6"/>
                <w:sz w:val="18"/>
                <w:szCs w:val="18"/>
              </w:rPr>
              <w:t>业绩及补偿承诺：长实通信</w:t>
            </w:r>
            <w:r>
              <w:rPr>
                <w:rFonts w:ascii="宋体" w:hAnsi="宋体" w:cs="宋体" w:eastAsia="宋体" w:hint="default"/>
                <w:spacing w:val="11"/>
                <w:sz w:val="18"/>
                <w:szCs w:val="18"/>
              </w:rPr>
              <w:t> </w:t>
            </w:r>
            <w:r>
              <w:rPr>
                <w:rFonts w:ascii="宋体" w:hAnsi="宋体" w:cs="宋体" w:eastAsia="宋体" w:hint="default"/>
                <w:sz w:val="18"/>
                <w:szCs w:val="18"/>
              </w:rPr>
              <w:t>2015</w:t>
            </w: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693" w:type="dxa"/>
            <w:gridSpan w:val="4"/>
            <w:tcBorders>
              <w:top w:val="single" w:sz="4" w:space="0" w:color="000000"/>
              <w:left w:val="single" w:sz="4" w:space="0" w:color="000000"/>
              <w:bottom w:val="nil" w:sz="6" w:space="0" w:color="auto"/>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经审计，长实通信</w:t>
            </w:r>
            <w:r>
              <w:rPr>
                <w:rFonts w:ascii="宋体" w:hAnsi="宋体" w:cs="宋体" w:eastAsia="宋体" w:hint="default"/>
                <w:spacing w:val="17"/>
                <w:sz w:val="18"/>
                <w:szCs w:val="18"/>
              </w:rPr>
              <w:t> </w:t>
            </w:r>
            <w:r>
              <w:rPr>
                <w:rFonts w:ascii="宋体" w:hAnsi="宋体" w:cs="宋体" w:eastAsia="宋体" w:hint="default"/>
                <w:sz w:val="18"/>
                <w:szCs w:val="18"/>
              </w:rPr>
              <w:t>2015、</w:t>
            </w:r>
          </w:p>
        </w:tc>
      </w:tr>
      <w:tr>
        <w:trPr>
          <w:trHeight w:val="2102"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sz w:val="18"/>
              </w:rPr>
              <w:t>2015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132"/>
              <w:jc w:val="both"/>
              <w:rPr>
                <w:rFonts w:ascii="宋体" w:hAnsi="宋体" w:cs="宋体" w:eastAsia="宋体" w:hint="default"/>
                <w:sz w:val="18"/>
                <w:szCs w:val="18"/>
              </w:rPr>
            </w:pPr>
            <w:r>
              <w:rPr>
                <w:rFonts w:ascii="宋体" w:hAnsi="宋体" w:cs="宋体" w:eastAsia="宋体" w:hint="default"/>
                <w:spacing w:val="10"/>
                <w:sz w:val="18"/>
                <w:szCs w:val="18"/>
              </w:rPr>
              <w:t>长实网</w:t>
            </w:r>
            <w:r>
              <w:rPr>
                <w:rFonts w:ascii="宋体" w:hAnsi="宋体" w:cs="宋体" w:eastAsia="宋体" w:hint="default"/>
                <w:sz w:val="18"/>
                <w:szCs w:val="18"/>
              </w:rPr>
              <w:t> </w:t>
            </w:r>
            <w:r>
              <w:rPr>
                <w:rFonts w:ascii="宋体" w:hAnsi="宋体" w:cs="宋体" w:eastAsia="宋体" w:hint="default"/>
                <w:spacing w:val="8"/>
                <w:sz w:val="18"/>
                <w:szCs w:val="18"/>
              </w:rPr>
              <w:t>络、</w:t>
            </w:r>
            <w:r>
              <w:rPr>
                <w:rFonts w:ascii="宋体" w:hAnsi="宋体" w:cs="宋体" w:eastAsia="宋体" w:hint="default"/>
                <w:spacing w:val="-74"/>
                <w:sz w:val="18"/>
                <w:szCs w:val="18"/>
              </w:rPr>
              <w:t> </w:t>
            </w:r>
            <w:r>
              <w:rPr>
                <w:rFonts w:ascii="宋体" w:hAnsi="宋体" w:cs="宋体" w:eastAsia="宋体" w:hint="default"/>
                <w:sz w:val="18"/>
                <w:szCs w:val="18"/>
              </w:rPr>
              <w:t>孝</w:t>
            </w:r>
            <w:r>
              <w:rPr>
                <w:rFonts w:ascii="宋体" w:hAnsi="宋体" w:cs="宋体" w:eastAsia="宋体" w:hint="default"/>
                <w:sz w:val="18"/>
                <w:szCs w:val="18"/>
              </w:rPr>
              <w:t> 昌</w:t>
            </w:r>
            <w:r>
              <w:rPr>
                <w:rFonts w:ascii="宋体" w:hAnsi="宋体" w:cs="宋体" w:eastAsia="宋体" w:hint="default"/>
                <w:spacing w:val="33"/>
                <w:sz w:val="18"/>
                <w:szCs w:val="18"/>
              </w:rPr>
              <w:t> </w:t>
            </w:r>
            <w:r>
              <w:rPr>
                <w:rFonts w:ascii="宋体" w:hAnsi="宋体" w:cs="宋体" w:eastAsia="宋体" w:hint="default"/>
                <w:sz w:val="18"/>
                <w:szCs w:val="18"/>
              </w:rPr>
              <w:t>恒</w:t>
            </w:r>
            <w:r>
              <w:rPr>
                <w:rFonts w:ascii="宋体" w:hAnsi="宋体" w:cs="宋体" w:eastAsia="宋体" w:hint="default"/>
                <w:sz w:val="18"/>
                <w:szCs w:val="18"/>
              </w:rPr>
              <w:t> </w:t>
            </w:r>
            <w:r>
              <w:rPr>
                <w:rFonts w:ascii="宋体" w:hAnsi="宋体" w:cs="宋体" w:eastAsia="宋体" w:hint="default"/>
                <w:spacing w:val="8"/>
                <w:sz w:val="18"/>
                <w:szCs w:val="18"/>
              </w:rPr>
              <w:t>隆、</w:t>
            </w:r>
            <w:r>
              <w:rPr>
                <w:rFonts w:ascii="宋体" w:hAnsi="宋体" w:cs="宋体" w:eastAsia="宋体" w:hint="default"/>
                <w:spacing w:val="-74"/>
                <w:sz w:val="18"/>
                <w:szCs w:val="18"/>
              </w:rPr>
              <w:t> </w:t>
            </w:r>
            <w:r>
              <w:rPr>
                <w:rFonts w:ascii="宋体" w:hAnsi="宋体" w:cs="宋体" w:eastAsia="宋体" w:hint="default"/>
                <w:sz w:val="18"/>
                <w:szCs w:val="18"/>
              </w:rPr>
              <w:t>长</w:t>
            </w:r>
            <w:r>
              <w:rPr>
                <w:rFonts w:ascii="宋体" w:hAnsi="宋体" w:cs="宋体" w:eastAsia="宋体" w:hint="default"/>
                <w:sz w:val="18"/>
                <w:szCs w:val="18"/>
              </w:rPr>
              <w:t> 实</w:t>
            </w:r>
            <w:r>
              <w:rPr>
                <w:rFonts w:ascii="宋体" w:hAnsi="宋体" w:cs="宋体" w:eastAsia="宋体" w:hint="default"/>
                <w:spacing w:val="33"/>
                <w:sz w:val="18"/>
                <w:szCs w:val="18"/>
              </w:rPr>
              <w:t> </w:t>
            </w:r>
            <w:r>
              <w:rPr>
                <w:rFonts w:ascii="宋体" w:hAnsi="宋体" w:cs="宋体" w:eastAsia="宋体" w:hint="default"/>
                <w:sz w:val="18"/>
                <w:szCs w:val="18"/>
              </w:rPr>
              <w:t>锦</w:t>
            </w:r>
            <w:r>
              <w:rPr>
                <w:rFonts w:ascii="宋体" w:hAnsi="宋体" w:cs="宋体" w:eastAsia="宋体" w:hint="default"/>
                <w:sz w:val="18"/>
                <w:szCs w:val="18"/>
              </w:rPr>
              <w:t> </w:t>
            </w:r>
            <w:r>
              <w:rPr>
                <w:rFonts w:ascii="宋体" w:hAnsi="宋体" w:cs="宋体" w:eastAsia="宋体" w:hint="default"/>
                <w:spacing w:val="8"/>
                <w:sz w:val="18"/>
                <w:szCs w:val="18"/>
              </w:rPr>
              <w:t>轩、</w:t>
            </w:r>
            <w:r>
              <w:rPr>
                <w:rFonts w:ascii="宋体" w:hAnsi="宋体" w:cs="宋体" w:eastAsia="宋体" w:hint="default"/>
                <w:spacing w:val="-74"/>
                <w:sz w:val="18"/>
                <w:szCs w:val="18"/>
              </w:rPr>
              <w:t> </w:t>
            </w:r>
            <w:r>
              <w:rPr>
                <w:rFonts w:ascii="宋体" w:hAnsi="宋体" w:cs="宋体" w:eastAsia="宋体" w:hint="default"/>
                <w:sz w:val="18"/>
                <w:szCs w:val="18"/>
              </w:rPr>
              <w:t>张</w:t>
            </w:r>
            <w:r>
              <w:rPr>
                <w:rFonts w:ascii="宋体" w:hAnsi="宋体" w:cs="宋体" w:eastAsia="宋体" w:hint="default"/>
                <w:sz w:val="18"/>
                <w:szCs w:val="18"/>
              </w:rPr>
              <w:t> </w:t>
            </w:r>
            <w:r>
              <w:rPr>
                <w:rFonts w:ascii="宋体" w:hAnsi="宋体" w:cs="宋体" w:eastAsia="宋体" w:hint="default"/>
                <w:spacing w:val="8"/>
                <w:sz w:val="18"/>
                <w:szCs w:val="18"/>
              </w:rPr>
              <w:t>文、</w:t>
            </w:r>
            <w:r>
              <w:rPr>
                <w:rFonts w:ascii="宋体" w:hAnsi="宋体" w:cs="宋体" w:eastAsia="宋体" w:hint="default"/>
                <w:spacing w:val="-74"/>
                <w:sz w:val="18"/>
                <w:szCs w:val="18"/>
              </w:rPr>
              <w:t> </w:t>
            </w:r>
            <w:r>
              <w:rPr>
                <w:rFonts w:ascii="宋体" w:hAnsi="宋体" w:cs="宋体" w:eastAsia="宋体" w:hint="default"/>
                <w:sz w:val="18"/>
                <w:szCs w:val="18"/>
              </w:rPr>
              <w:t>李</w:t>
            </w:r>
            <w:r>
              <w:rPr>
                <w:rFonts w:ascii="宋体" w:hAnsi="宋体" w:cs="宋体" w:eastAsia="宋体" w:hint="default"/>
                <w:sz w:val="18"/>
                <w:szCs w:val="18"/>
              </w:rPr>
              <w:t> 强</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72" w:right="133"/>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42"/>
                <w:sz w:val="18"/>
                <w:szCs w:val="18"/>
              </w:rPr>
              <w:t> </w:t>
            </w:r>
            <w:r>
              <w:rPr>
                <w:rFonts w:ascii="宋体" w:hAnsi="宋体" w:cs="宋体" w:eastAsia="宋体" w:hint="default"/>
                <w:sz w:val="18"/>
                <w:szCs w:val="18"/>
              </w:rPr>
              <w:t>定</w:t>
            </w:r>
            <w:r>
              <w:rPr>
                <w:rFonts w:ascii="宋体" w:hAnsi="宋体" w:cs="宋体" w:eastAsia="宋体" w:hint="default"/>
                <w:sz w:val="18"/>
                <w:szCs w:val="18"/>
              </w:rPr>
              <w:t> 期限</w:t>
            </w:r>
          </w:p>
        </w:tc>
        <w:tc>
          <w:tcPr>
            <w:tcW w:w="30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both"/>
              <w:rPr>
                <w:rFonts w:ascii="宋体" w:hAnsi="宋体" w:cs="宋体" w:eastAsia="宋体" w:hint="default"/>
                <w:sz w:val="18"/>
                <w:szCs w:val="18"/>
              </w:rPr>
            </w:pPr>
            <w:r>
              <w:rPr>
                <w:rFonts w:ascii="宋体" w:hAnsi="宋体" w:cs="宋体" w:eastAsia="宋体" w:hint="default"/>
                <w:sz w:val="18"/>
                <w:szCs w:val="18"/>
              </w:rPr>
              <w:t>年度、 2016 年度、 2017</w:t>
            </w:r>
            <w:r>
              <w:rPr>
                <w:rFonts w:ascii="宋体" w:hAnsi="宋体" w:cs="宋体" w:eastAsia="宋体" w:hint="default"/>
                <w:spacing w:val="23"/>
                <w:sz w:val="18"/>
                <w:szCs w:val="18"/>
              </w:rPr>
              <w:t> </w:t>
            </w:r>
            <w:r>
              <w:rPr>
                <w:rFonts w:ascii="宋体" w:hAnsi="宋体" w:cs="宋体" w:eastAsia="宋体" w:hint="default"/>
                <w:sz w:val="18"/>
                <w:szCs w:val="18"/>
              </w:rPr>
              <w:t>年度对应</w:t>
            </w:r>
          </w:p>
          <w:p>
            <w:pPr>
              <w:pStyle w:val="TableParagraph"/>
              <w:spacing w:line="232" w:lineRule="exact" w:before="24"/>
              <w:ind w:left="70" w:right="38"/>
              <w:jc w:val="both"/>
              <w:rPr>
                <w:rFonts w:ascii="宋体" w:hAnsi="宋体" w:cs="宋体" w:eastAsia="宋体" w:hint="default"/>
                <w:sz w:val="18"/>
                <w:szCs w:val="18"/>
              </w:rPr>
            </w:pPr>
            <w:r>
              <w:rPr>
                <w:rFonts w:ascii="宋体" w:hAnsi="宋体" w:cs="宋体" w:eastAsia="宋体" w:hint="default"/>
                <w:sz w:val="18"/>
                <w:szCs w:val="18"/>
              </w:rPr>
              <w:t>的经审计的扣除非经常性损益后的实</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际净利润应分别不低于 9,000 万元、</w:t>
            </w:r>
          </w:p>
          <w:p>
            <w:pPr>
              <w:pStyle w:val="TableParagraph"/>
              <w:spacing w:line="232" w:lineRule="exact" w:before="1"/>
              <w:ind w:left="70" w:right="102"/>
              <w:jc w:val="both"/>
              <w:rPr>
                <w:rFonts w:ascii="宋体" w:hAnsi="宋体" w:cs="宋体" w:eastAsia="宋体" w:hint="default"/>
                <w:sz w:val="18"/>
                <w:szCs w:val="18"/>
              </w:rPr>
            </w:pPr>
            <w:r>
              <w:rPr>
                <w:rFonts w:ascii="宋体" w:hAnsi="宋体" w:cs="宋体" w:eastAsia="宋体" w:hint="default"/>
                <w:sz w:val="18"/>
                <w:szCs w:val="18"/>
              </w:rPr>
              <w:t>10,800 万元、12,960</w:t>
            </w:r>
            <w:r>
              <w:rPr>
                <w:rFonts w:ascii="宋体" w:hAnsi="宋体" w:cs="宋体" w:eastAsia="宋体" w:hint="default"/>
                <w:spacing w:val="20"/>
                <w:sz w:val="18"/>
                <w:szCs w:val="18"/>
              </w:rPr>
              <w:t> </w:t>
            </w:r>
            <w:r>
              <w:rPr>
                <w:rFonts w:ascii="宋体" w:hAnsi="宋体" w:cs="宋体" w:eastAsia="宋体" w:hint="default"/>
                <w:sz w:val="18"/>
                <w:szCs w:val="18"/>
              </w:rPr>
              <w:t>万元。据业绩</w:t>
            </w:r>
            <w:r>
              <w:rPr>
                <w:rFonts w:ascii="宋体" w:hAnsi="宋体" w:cs="宋体" w:eastAsia="宋体" w:hint="default"/>
                <w:sz w:val="18"/>
                <w:szCs w:val="18"/>
              </w:rPr>
              <w:t> 承诺期间每一会计年度结束后出具的</w:t>
            </w:r>
          </w:p>
          <w:p>
            <w:pPr>
              <w:pStyle w:val="TableParagraph"/>
              <w:spacing w:line="232" w:lineRule="exact" w:before="3"/>
              <w:ind w:left="70" w:right="102"/>
              <w:jc w:val="both"/>
              <w:rPr>
                <w:rFonts w:ascii="宋体" w:hAnsi="宋体" w:cs="宋体" w:eastAsia="宋体" w:hint="default"/>
                <w:sz w:val="18"/>
                <w:szCs w:val="18"/>
              </w:rPr>
            </w:pPr>
            <w:r>
              <w:rPr>
                <w:rFonts w:ascii="宋体" w:hAnsi="宋体" w:cs="宋体" w:eastAsia="宋体" w:hint="default"/>
                <w:sz w:val="18"/>
                <w:szCs w:val="18"/>
              </w:rPr>
              <w:t>专项审核报告，如长实通信截至该年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度期末累计的实际净利润数低于同期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累计的承诺净利润数，则承诺方应按</w:t>
            </w:r>
          </w:p>
          <w:p>
            <w:pPr>
              <w:pStyle w:val="TableParagraph"/>
              <w:spacing w:line="214" w:lineRule="exact"/>
              <w:ind w:left="70" w:right="0"/>
              <w:jc w:val="both"/>
              <w:rPr>
                <w:rFonts w:ascii="宋体" w:hAnsi="宋体" w:cs="宋体" w:eastAsia="宋体" w:hint="default"/>
                <w:sz w:val="18"/>
                <w:szCs w:val="18"/>
              </w:rPr>
            </w:pPr>
            <w:r>
              <w:rPr>
                <w:rFonts w:ascii="宋体" w:hAnsi="宋体" w:cs="宋体" w:eastAsia="宋体" w:hint="default"/>
                <w:spacing w:val="13"/>
                <w:sz w:val="18"/>
                <w:szCs w:val="18"/>
              </w:rPr>
              <w:t>照约定的方式对本公司进行现金补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9</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pacing w:val="-14"/>
                <w:sz w:val="18"/>
                <w:szCs w:val="18"/>
              </w:rPr>
              <w:t>2015年至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8"/>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693"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年扣除非经常性损益后(简</w:t>
            </w:r>
          </w:p>
          <w:p>
            <w:pPr>
              <w:pStyle w:val="TableParagraph"/>
              <w:spacing w:line="237" w:lineRule="auto" w:before="2"/>
              <w:ind w:left="103" w:right="100"/>
              <w:jc w:val="both"/>
              <w:rPr>
                <w:rFonts w:ascii="宋体" w:hAnsi="宋体" w:cs="宋体" w:eastAsia="宋体" w:hint="default"/>
                <w:sz w:val="18"/>
                <w:szCs w:val="18"/>
              </w:rPr>
            </w:pPr>
            <w:r>
              <w:rPr>
                <w:rFonts w:ascii="宋体" w:hAnsi="宋体" w:cs="宋体" w:eastAsia="宋体" w:hint="default"/>
                <w:spacing w:val="2"/>
                <w:sz w:val="18"/>
                <w:szCs w:val="18"/>
              </w:rPr>
              <w:t>称扣非后)的净利润均高于盈利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预测承诺数，2017</w:t>
            </w:r>
            <w:r>
              <w:rPr>
                <w:rFonts w:ascii="宋体" w:hAnsi="宋体" w:cs="宋体" w:eastAsia="宋体" w:hint="default"/>
                <w:spacing w:val="-41"/>
                <w:sz w:val="18"/>
                <w:szCs w:val="18"/>
              </w:rPr>
              <w:t> </w:t>
            </w:r>
            <w:r>
              <w:rPr>
                <w:rFonts w:ascii="宋体" w:hAnsi="宋体" w:cs="宋体" w:eastAsia="宋体" w:hint="default"/>
                <w:spacing w:val="-1"/>
                <w:sz w:val="18"/>
                <w:szCs w:val="18"/>
              </w:rPr>
              <w:t>年扣非后的净</w:t>
            </w:r>
            <w:r>
              <w:rPr>
                <w:rFonts w:ascii="宋体" w:hAnsi="宋体" w:cs="宋体" w:eastAsia="宋体" w:hint="default"/>
                <w:sz w:val="18"/>
                <w:szCs w:val="18"/>
              </w:rPr>
              <w:t> </w:t>
            </w:r>
            <w:r>
              <w:rPr>
                <w:rFonts w:ascii="宋体" w:hAnsi="宋体" w:cs="宋体" w:eastAsia="宋体" w:hint="default"/>
                <w:spacing w:val="-4"/>
                <w:sz w:val="18"/>
                <w:szCs w:val="18"/>
              </w:rPr>
              <w:t>利润低于盈利预测承诺数，但本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报告期末累计的扣非后净利润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数高于同期累计的承诺净利润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数，未出现补偿情形。有关情况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见本年报本章本节“二、公司资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产或项目盈利预测情况”的内</w:t>
            </w:r>
          </w:p>
        </w:tc>
      </w:tr>
      <w:tr>
        <w:trPr>
          <w:trHeight w:val="239" w:hRule="exact"/>
        </w:trPr>
        <w:tc>
          <w:tcPr>
            <w:tcW w:w="708"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309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偿。</w:t>
            </w: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693" w:type="dxa"/>
            <w:gridSpan w:val="4"/>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容。报告期承诺履行完毕。</w:t>
            </w:r>
          </w:p>
        </w:tc>
      </w:tr>
      <w:tr>
        <w:trPr>
          <w:trHeight w:val="283" w:hRule="exact"/>
        </w:trPr>
        <w:tc>
          <w:tcPr>
            <w:tcW w:w="9638" w:type="dxa"/>
            <w:gridSpan w:val="10"/>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64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3"/>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2"/>
                <w:sz w:val="18"/>
                <w:szCs w:val="18"/>
              </w:rPr>
              <w:t> </w:t>
            </w:r>
            <w:r>
              <w:rPr>
                <w:rFonts w:ascii="宋体" w:hAnsi="宋体" w:cs="宋体" w:eastAsia="宋体" w:hint="default"/>
                <w:sz w:val="18"/>
                <w:szCs w:val="18"/>
              </w:rPr>
              <w:t>实</w:t>
            </w:r>
            <w:r>
              <w:rPr>
                <w:rFonts w:ascii="宋体" w:hAnsi="宋体" w:cs="宋体" w:eastAsia="宋体" w:hint="default"/>
                <w:spacing w:val="-42"/>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宋体" w:hAnsi="宋体" w:cs="宋体" w:eastAsia="宋体" w:hint="default"/>
                <w:spacing w:val="-22"/>
                <w:sz w:val="18"/>
                <w:szCs w:val="18"/>
              </w:rPr>
              <w:t>络、孝昌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恒隆、长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实锦轩、 </w:t>
            </w:r>
            <w:r>
              <w:rPr>
                <w:rFonts w:ascii="宋体" w:hAnsi="宋体" w:cs="宋体" w:eastAsia="宋体" w:hint="default"/>
                <w:spacing w:val="-22"/>
                <w:sz w:val="18"/>
                <w:szCs w:val="18"/>
              </w:rPr>
              <w:t>张文、李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34" w:right="66"/>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38"/>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5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5" w:right="0" w:firstLine="360"/>
              <w:jc w:val="left"/>
              <w:rPr>
                <w:rFonts w:ascii="宋体" w:hAnsi="宋体" w:cs="宋体" w:eastAsia="宋体" w:hint="default"/>
                <w:sz w:val="18"/>
                <w:szCs w:val="18"/>
              </w:rPr>
            </w:pPr>
            <w:r>
              <w:rPr>
                <w:rFonts w:ascii="宋体" w:hAnsi="宋体" w:cs="宋体" w:eastAsia="宋体" w:hint="default"/>
                <w:sz w:val="18"/>
                <w:szCs w:val="18"/>
              </w:rPr>
              <w:t>信息真实性、准确性和完整性承诺：承诺方保证所提供的信息</w:t>
            </w:r>
          </w:p>
          <w:p>
            <w:pPr>
              <w:pStyle w:val="TableParagraph"/>
              <w:spacing w:line="237" w:lineRule="auto"/>
              <w:ind w:left="135" w:right="103"/>
              <w:jc w:val="both"/>
              <w:rPr>
                <w:rFonts w:ascii="宋体" w:hAnsi="宋体" w:cs="宋体" w:eastAsia="宋体" w:hint="default"/>
                <w:sz w:val="18"/>
                <w:szCs w:val="18"/>
              </w:rPr>
            </w:pPr>
            <w:r>
              <w:rPr>
                <w:rFonts w:ascii="宋体" w:hAnsi="宋体" w:cs="宋体" w:eastAsia="宋体" w:hint="default"/>
                <w:sz w:val="18"/>
                <w:szCs w:val="18"/>
              </w:rPr>
              <w:t>真实、准确、完整，不存在任何虚假记载、误导性陈述或者重大遗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漏。如因提供的信息存在虚假记载、误导性陈述或者重大遗漏，给</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公司或者投资者造成损失的，将依法承担赔偿责任；如本次交易因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涉嫌所提供或者披露的信息存在虚假记载、误导性陈述或者重大遗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漏，被司法机关立案侦查或者被中国证监会立案调查的，在案件调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查结论明确之前，承诺方将暂停转让在公司拥有权益的股份。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t>5</w:t>
            </w:r>
          </w:p>
          <w:p>
            <w:pPr>
              <w:pStyle w:val="TableParagraph"/>
              <w:tabs>
                <w:tab w:pos="506" w:val="left" w:leader="none"/>
              </w:tabs>
              <w:spacing w:line="232" w:lineRule="exact" w:before="23"/>
              <w:ind w:left="103" w:right="102"/>
              <w:jc w:val="left"/>
              <w:rPr>
                <w:rFonts w:ascii="宋体" w:hAnsi="宋体" w:cs="宋体" w:eastAsia="宋体" w:hint="default"/>
                <w:sz w:val="18"/>
                <w:szCs w:val="18"/>
              </w:rPr>
            </w:pPr>
            <w:r>
              <w:rPr>
                <w:rFonts w:ascii="宋体" w:hAnsi="宋体" w:cs="宋体" w:eastAsia="宋体" w:hint="default"/>
                <w:sz w:val="18"/>
                <w:szCs w:val="18"/>
              </w:rPr>
              <w:t>月</w:t>
              <w:tab/>
              <w:t>9 日</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283" w:hRule="exact"/>
        </w:trPr>
        <w:tc>
          <w:tcPr>
            <w:tcW w:w="9638" w:type="dxa"/>
            <w:gridSpan w:val="10"/>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37" w:hRule="exact"/>
        </w:trPr>
        <w:tc>
          <w:tcPr>
            <w:tcW w:w="708" w:type="dxa"/>
            <w:vMerge w:val="restart"/>
            <w:tcBorders>
              <w:top w:val="single" w:sz="4" w:space="0" w:color="000000"/>
              <w:left w:val="single" w:sz="4" w:space="0" w:color="000000"/>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2"/>
                <w:sz w:val="18"/>
                <w:szCs w:val="18"/>
              </w:rPr>
              <w:t> </w:t>
            </w:r>
            <w:r>
              <w:rPr>
                <w:rFonts w:ascii="宋体" w:hAnsi="宋体" w:cs="宋体" w:eastAsia="宋体" w:hint="default"/>
                <w:sz w:val="18"/>
                <w:szCs w:val="18"/>
              </w:rPr>
              <w:t>实</w:t>
            </w:r>
            <w:r>
              <w:rPr>
                <w:rFonts w:ascii="宋体" w:hAnsi="宋体" w:cs="宋体" w:eastAsia="宋体" w:hint="default"/>
                <w:spacing w:val="-42"/>
                <w:sz w:val="18"/>
                <w:szCs w:val="18"/>
              </w:rPr>
              <w:t> </w:t>
            </w:r>
            <w:r>
              <w:rPr>
                <w:rFonts w:ascii="宋体" w:hAnsi="宋体" w:cs="宋体" w:eastAsia="宋体" w:hint="default"/>
                <w:sz w:val="18"/>
                <w:szCs w:val="18"/>
              </w:rPr>
              <w:t>网</w:t>
            </w:r>
          </w:p>
        </w:tc>
        <w:tc>
          <w:tcPr>
            <w:tcW w:w="625" w:type="dxa"/>
            <w:tcBorders>
              <w:top w:val="single" w:sz="4" w:space="0" w:color="000000"/>
              <w:left w:val="single" w:sz="4" w:space="0" w:color="000000"/>
              <w:bottom w:val="nil" w:sz="6" w:space="0" w:color="auto"/>
              <w:right w:val="single" w:sz="4" w:space="0" w:color="000000"/>
            </w:tcBorders>
          </w:tcPr>
          <w:p>
            <w:pPr/>
          </w:p>
        </w:tc>
        <w:tc>
          <w:tcPr>
            <w:tcW w:w="5500" w:type="dxa"/>
            <w:gridSpan w:val="4"/>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708" w:type="dxa"/>
            <w:vMerge/>
            <w:tcBorders>
              <w:left w:val="single" w:sz="4" w:space="0" w:color="000000"/>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络</w:t>
            </w:r>
            <w:r>
              <w:rPr>
                <w:rFonts w:ascii="宋体" w:hAnsi="宋体" w:cs="宋体" w:eastAsia="宋体" w:hint="default"/>
                <w:spacing w:val="-85"/>
                <w:sz w:val="18"/>
                <w:szCs w:val="18"/>
              </w:rPr>
              <w:t>、</w:t>
            </w:r>
            <w:r>
              <w:rPr>
                <w:rFonts w:ascii="宋体" w:hAnsi="宋体" w:cs="宋体" w:eastAsia="宋体" w:hint="default"/>
                <w:sz w:val="18"/>
                <w:szCs w:val="18"/>
              </w:rPr>
              <w:t>孝昌</w:t>
            </w:r>
          </w:p>
          <w:p>
            <w:pPr>
              <w:pStyle w:val="TableParagraph"/>
              <w:spacing w:line="237" w:lineRule="auto"/>
              <w:ind w:left="103" w:right="-13"/>
              <w:jc w:val="left"/>
              <w:rPr>
                <w:rFonts w:ascii="宋体" w:hAnsi="宋体" w:cs="宋体" w:eastAsia="宋体" w:hint="default"/>
                <w:sz w:val="18"/>
                <w:szCs w:val="18"/>
              </w:rPr>
            </w:pPr>
            <w:r>
              <w:rPr>
                <w:rFonts w:ascii="宋体" w:hAnsi="宋体" w:cs="宋体" w:eastAsia="宋体" w:hint="default"/>
                <w:spacing w:val="-22"/>
                <w:sz w:val="18"/>
                <w:szCs w:val="18"/>
              </w:rPr>
              <w:t>恒隆、长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实锦轩、 </w:t>
            </w:r>
            <w:r>
              <w:rPr>
                <w:rFonts w:ascii="宋体" w:hAnsi="宋体" w:cs="宋体" w:eastAsia="宋体" w:hint="default"/>
                <w:spacing w:val="-22"/>
                <w:sz w:val="18"/>
                <w:szCs w:val="18"/>
              </w:rPr>
              <w:t>张文、李</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34" w:right="66"/>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38"/>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5" w:lineRule="exact"/>
              <w:ind w:left="135" w:right="0" w:firstLine="360"/>
              <w:jc w:val="left"/>
              <w:rPr>
                <w:rFonts w:ascii="宋体" w:hAnsi="宋体" w:cs="宋体" w:eastAsia="宋体" w:hint="default"/>
                <w:sz w:val="18"/>
                <w:szCs w:val="18"/>
              </w:rPr>
            </w:pPr>
            <w:r>
              <w:rPr>
                <w:rFonts w:ascii="宋体" w:hAnsi="宋体" w:cs="宋体" w:eastAsia="宋体" w:hint="default"/>
                <w:sz w:val="18"/>
                <w:szCs w:val="18"/>
              </w:rPr>
              <w:t>交易标的资产权属承诺：承诺方已经依法履行对长实通信的出</w:t>
            </w:r>
          </w:p>
          <w:p>
            <w:pPr>
              <w:pStyle w:val="TableParagraph"/>
              <w:spacing w:line="237" w:lineRule="auto"/>
              <w:ind w:left="135" w:right="12"/>
              <w:jc w:val="both"/>
              <w:rPr>
                <w:rFonts w:ascii="宋体" w:hAnsi="宋体" w:cs="宋体" w:eastAsia="宋体" w:hint="default"/>
                <w:sz w:val="18"/>
                <w:szCs w:val="18"/>
              </w:rPr>
            </w:pPr>
            <w:r>
              <w:rPr>
                <w:rFonts w:ascii="宋体" w:hAnsi="宋体" w:cs="宋体" w:eastAsia="宋体" w:hint="default"/>
                <w:sz w:val="18"/>
                <w:szCs w:val="18"/>
              </w:rPr>
              <w:t>资义务，不存在任何虚假出资、延期出资、抽逃出资等违反作为股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东所应承担的义务及责任的行为，不存在可能影响长实通信合法存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续的情况。若违反承诺，将承担因此而给茂业通信造成的一切损失。</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t>5</w:t>
            </w:r>
          </w:p>
          <w:p>
            <w:pPr>
              <w:pStyle w:val="TableParagraph"/>
              <w:tabs>
                <w:tab w:pos="506" w:val="left" w:leader="none"/>
              </w:tabs>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月</w:t>
              <w:tab/>
              <w:t>9 日</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241" w:hRule="exact"/>
        </w:trPr>
        <w:tc>
          <w:tcPr>
            <w:tcW w:w="708" w:type="dxa"/>
            <w:vMerge/>
            <w:tcBorders>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强</w:t>
            </w:r>
          </w:p>
        </w:tc>
        <w:tc>
          <w:tcPr>
            <w:tcW w:w="625" w:type="dxa"/>
            <w:tcBorders>
              <w:top w:val="nil" w:sz="6" w:space="0" w:color="auto"/>
              <w:left w:val="single" w:sz="4" w:space="0" w:color="000000"/>
              <w:bottom w:val="single" w:sz="4" w:space="0" w:color="000000"/>
              <w:right w:val="single" w:sz="4" w:space="0" w:color="000000"/>
            </w:tcBorders>
          </w:tcPr>
          <w:p>
            <w:pPr/>
          </w:p>
        </w:tc>
        <w:tc>
          <w:tcPr>
            <w:tcW w:w="5500" w:type="dxa"/>
            <w:gridSpan w:val="4"/>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9638" w:type="dxa"/>
            <w:gridSpan w:val="10"/>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7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5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39" w:hRule="exact"/>
        </w:trPr>
        <w:tc>
          <w:tcPr>
            <w:tcW w:w="708"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
        </w:tc>
        <w:tc>
          <w:tcPr>
            <w:tcW w:w="5500" w:type="dxa"/>
            <w:gridSpan w:val="4"/>
            <w:tcBorders>
              <w:top w:val="single" w:sz="4" w:space="0" w:color="000000"/>
              <w:left w:val="single" w:sz="4" w:space="0" w:color="000000"/>
              <w:bottom w:val="nil" w:sz="6" w:space="0" w:color="auto"/>
              <w:right w:val="single" w:sz="4" w:space="0" w:color="000000"/>
            </w:tcBorders>
          </w:tcPr>
          <w:p>
            <w:pPr>
              <w:pStyle w:val="TableParagraph"/>
              <w:spacing w:line="208" w:lineRule="exact"/>
              <w:ind w:left="430" w:right="0"/>
              <w:jc w:val="left"/>
              <w:rPr>
                <w:rFonts w:ascii="宋体" w:hAnsi="宋体" w:cs="宋体" w:eastAsia="宋体" w:hint="default"/>
                <w:sz w:val="18"/>
                <w:szCs w:val="18"/>
              </w:rPr>
            </w:pPr>
            <w:r>
              <w:rPr>
                <w:rFonts w:ascii="宋体" w:hAnsi="宋体" w:cs="宋体" w:eastAsia="宋体" w:hint="default"/>
                <w:sz w:val="18"/>
                <w:szCs w:val="18"/>
              </w:rPr>
              <w:t>标的资产经营合规性承诺：</w:t>
            </w:r>
          </w:p>
        </w:tc>
        <w:tc>
          <w:tcPr>
            <w:tcW w:w="710"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430" w:right="0"/>
              <w:jc w:val="left"/>
              <w:rPr>
                <w:rFonts w:ascii="宋体" w:hAnsi="宋体" w:cs="宋体" w:eastAsia="宋体" w:hint="default"/>
                <w:sz w:val="18"/>
                <w:szCs w:val="18"/>
              </w:rPr>
            </w:pPr>
            <w:r>
              <w:rPr>
                <w:rFonts w:ascii="宋体" w:hAnsi="宋体" w:cs="宋体" w:eastAsia="宋体" w:hint="default"/>
                <w:sz w:val="18"/>
                <w:szCs w:val="18"/>
              </w:rPr>
              <w:t>1、长实通信系依法设立并有效存续的股份有限公司，具有法定</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的营业资格，长实通信已取得其设立及经营业务所需的一切批准、同</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意、授权和许可，所有该等批准、同意、授权和许可均为有效，并不</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70" w:right="0"/>
              <w:jc w:val="left"/>
              <w:rPr>
                <w:rFonts w:ascii="宋体" w:hAnsi="宋体" w:cs="宋体" w:eastAsia="宋体" w:hint="default"/>
                <w:sz w:val="18"/>
                <w:szCs w:val="18"/>
              </w:rPr>
            </w:pPr>
            <w:r>
              <w:rPr>
                <w:rFonts w:ascii="宋体" w:hAnsi="宋体" w:cs="宋体" w:eastAsia="宋体" w:hint="default"/>
                <w:sz w:val="18"/>
                <w:szCs w:val="18"/>
              </w:rPr>
              <w:t>存在任何原因或有可能导致上述批准</w:t>
            </w:r>
            <w:r>
              <w:rPr>
                <w:rFonts w:ascii="宋体" w:hAnsi="宋体" w:cs="宋体" w:eastAsia="宋体" w:hint="default"/>
                <w:spacing w:val="-87"/>
                <w:sz w:val="18"/>
                <w:szCs w:val="18"/>
              </w:rPr>
              <w:t>、</w:t>
            </w:r>
            <w:r>
              <w:rPr>
                <w:rFonts w:ascii="宋体" w:hAnsi="宋体" w:cs="宋体" w:eastAsia="宋体" w:hint="default"/>
                <w:sz w:val="18"/>
                <w:szCs w:val="18"/>
              </w:rPr>
              <w:t>同意</w:t>
            </w:r>
            <w:r>
              <w:rPr>
                <w:rFonts w:ascii="宋体" w:hAnsi="宋体" w:cs="宋体" w:eastAsia="宋体" w:hint="default"/>
                <w:spacing w:val="-87"/>
                <w:sz w:val="18"/>
                <w:szCs w:val="18"/>
              </w:rPr>
              <w:t>、</w:t>
            </w:r>
            <w:r>
              <w:rPr>
                <w:rFonts w:ascii="宋体" w:hAnsi="宋体" w:cs="宋体" w:eastAsia="宋体" w:hint="default"/>
                <w:sz w:val="18"/>
                <w:szCs w:val="18"/>
              </w:rPr>
              <w:t>授权和许可失效的情形。</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43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长实通信在最近三年的生产经营中不存在重大违法违规行为，</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长实通信不存在有关法律、法规、规范性文件和公司章程规定的应终</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邹军、</w:t>
            </w: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止的情形。截至本承诺出具日，长实通信不存在尚未了结或可以预见</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2015</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长实网</w:t>
            </w: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70" w:right="0"/>
              <w:jc w:val="left"/>
              <w:rPr>
                <w:rFonts w:ascii="宋体" w:hAnsi="宋体" w:cs="宋体" w:eastAsia="宋体" w:hint="default"/>
                <w:sz w:val="18"/>
                <w:szCs w:val="18"/>
              </w:rPr>
            </w:pPr>
            <w:r>
              <w:rPr>
                <w:rFonts w:ascii="宋体" w:hAnsi="宋体" w:cs="宋体" w:eastAsia="宋体" w:hint="default"/>
                <w:sz w:val="18"/>
                <w:szCs w:val="18"/>
              </w:rPr>
              <w:t>的重大诉讼、仲裁及行政处罚。</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1168"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络、</w:t>
            </w:r>
            <w:r>
              <w:rPr>
                <w:rFonts w:ascii="宋体" w:hAnsi="宋体" w:cs="宋体" w:eastAsia="宋体" w:hint="default"/>
                <w:spacing w:val="-74"/>
                <w:sz w:val="18"/>
                <w:szCs w:val="18"/>
              </w:rPr>
              <w:t> </w:t>
            </w:r>
            <w:r>
              <w:rPr>
                <w:rFonts w:ascii="宋体" w:hAnsi="宋体" w:cs="宋体" w:eastAsia="宋体" w:hint="default"/>
                <w:sz w:val="18"/>
                <w:szCs w:val="18"/>
              </w:rPr>
              <w:t>孝</w:t>
            </w:r>
          </w:p>
          <w:p>
            <w:pPr>
              <w:pStyle w:val="TableParagraph"/>
              <w:spacing w:line="237" w:lineRule="auto"/>
              <w:ind w:left="103" w:right="132"/>
              <w:jc w:val="both"/>
              <w:rPr>
                <w:rFonts w:ascii="宋体" w:hAnsi="宋体" w:cs="宋体" w:eastAsia="宋体" w:hint="default"/>
                <w:sz w:val="18"/>
                <w:szCs w:val="18"/>
              </w:rPr>
            </w:pPr>
            <w:r>
              <w:rPr>
                <w:rFonts w:ascii="宋体" w:hAnsi="宋体" w:cs="宋体" w:eastAsia="宋体" w:hint="default"/>
                <w:sz w:val="18"/>
                <w:szCs w:val="18"/>
              </w:rPr>
              <w:t>昌</w:t>
            </w:r>
            <w:r>
              <w:rPr>
                <w:rFonts w:ascii="宋体" w:hAnsi="宋体" w:cs="宋体" w:eastAsia="宋体" w:hint="default"/>
                <w:spacing w:val="33"/>
                <w:sz w:val="18"/>
                <w:szCs w:val="18"/>
              </w:rPr>
              <w:t> </w:t>
            </w:r>
            <w:r>
              <w:rPr>
                <w:rFonts w:ascii="宋体" w:hAnsi="宋体" w:cs="宋体" w:eastAsia="宋体" w:hint="default"/>
                <w:sz w:val="18"/>
                <w:szCs w:val="18"/>
              </w:rPr>
              <w:t>恒</w:t>
            </w:r>
            <w:r>
              <w:rPr>
                <w:rFonts w:ascii="宋体" w:hAnsi="宋体" w:cs="宋体" w:eastAsia="宋体" w:hint="default"/>
                <w:sz w:val="18"/>
                <w:szCs w:val="18"/>
              </w:rPr>
              <w:t> </w:t>
            </w:r>
            <w:r>
              <w:rPr>
                <w:rFonts w:ascii="宋体" w:hAnsi="宋体" w:cs="宋体" w:eastAsia="宋体" w:hint="default"/>
                <w:spacing w:val="8"/>
                <w:sz w:val="18"/>
                <w:szCs w:val="18"/>
              </w:rPr>
              <w:t>隆、</w:t>
            </w:r>
            <w:r>
              <w:rPr>
                <w:rFonts w:ascii="宋体" w:hAnsi="宋体" w:cs="宋体" w:eastAsia="宋体" w:hint="default"/>
                <w:spacing w:val="-74"/>
                <w:sz w:val="18"/>
                <w:szCs w:val="18"/>
              </w:rPr>
              <w:t> </w:t>
            </w:r>
            <w:r>
              <w:rPr>
                <w:rFonts w:ascii="宋体" w:hAnsi="宋体" w:cs="宋体" w:eastAsia="宋体" w:hint="default"/>
                <w:sz w:val="18"/>
                <w:szCs w:val="18"/>
              </w:rPr>
              <w:t>长</w:t>
            </w:r>
            <w:r>
              <w:rPr>
                <w:rFonts w:ascii="宋体" w:hAnsi="宋体" w:cs="宋体" w:eastAsia="宋体" w:hint="default"/>
                <w:sz w:val="18"/>
                <w:szCs w:val="18"/>
              </w:rPr>
              <w:t> 实</w:t>
            </w:r>
            <w:r>
              <w:rPr>
                <w:rFonts w:ascii="宋体" w:hAnsi="宋体" w:cs="宋体" w:eastAsia="宋体" w:hint="default"/>
                <w:spacing w:val="33"/>
                <w:sz w:val="18"/>
                <w:szCs w:val="18"/>
              </w:rPr>
              <w:t> </w:t>
            </w:r>
            <w:r>
              <w:rPr>
                <w:rFonts w:ascii="宋体" w:hAnsi="宋体" w:cs="宋体" w:eastAsia="宋体" w:hint="default"/>
                <w:sz w:val="18"/>
                <w:szCs w:val="18"/>
              </w:rPr>
              <w:t>锦</w:t>
            </w:r>
            <w:r>
              <w:rPr>
                <w:rFonts w:ascii="宋体" w:hAnsi="宋体" w:cs="宋体" w:eastAsia="宋体" w:hint="default"/>
                <w:sz w:val="18"/>
                <w:szCs w:val="18"/>
              </w:rPr>
              <w:t> </w:t>
            </w:r>
            <w:r>
              <w:rPr>
                <w:rFonts w:ascii="宋体" w:hAnsi="宋体" w:cs="宋体" w:eastAsia="宋体" w:hint="default"/>
                <w:spacing w:val="8"/>
                <w:sz w:val="18"/>
                <w:szCs w:val="18"/>
              </w:rPr>
              <w:t>轩、</w:t>
            </w:r>
            <w:r>
              <w:rPr>
                <w:rFonts w:ascii="宋体" w:hAnsi="宋体" w:cs="宋体" w:eastAsia="宋体" w:hint="default"/>
                <w:spacing w:val="-74"/>
                <w:sz w:val="18"/>
                <w:szCs w:val="18"/>
              </w:rPr>
              <w:t> </w:t>
            </w:r>
            <w:r>
              <w:rPr>
                <w:rFonts w:ascii="宋体" w:hAnsi="宋体" w:cs="宋体" w:eastAsia="宋体" w:hint="default"/>
                <w:sz w:val="18"/>
                <w:szCs w:val="18"/>
              </w:rPr>
              <w:t>张</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316" w:lineRule="auto" w:before="125"/>
              <w:ind w:left="72" w:right="133"/>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42"/>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4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firstLine="360"/>
              <w:jc w:val="left"/>
              <w:rPr>
                <w:rFonts w:ascii="宋体" w:hAnsi="宋体" w:cs="宋体" w:eastAsia="宋体" w:hint="default"/>
                <w:sz w:val="18"/>
                <w:szCs w:val="18"/>
              </w:rPr>
            </w:pPr>
            <w:r>
              <w:rPr>
                <w:rFonts w:ascii="宋体" w:hAnsi="宋体" w:cs="宋体" w:eastAsia="宋体" w:hint="default"/>
                <w:sz w:val="18"/>
                <w:szCs w:val="18"/>
              </w:rPr>
              <w:t>3、长实通信将继续独立、完整地履行其与员工的劳动合同，不</w:t>
            </w:r>
          </w:p>
          <w:p>
            <w:pPr>
              <w:pStyle w:val="TableParagraph"/>
              <w:spacing w:line="237" w:lineRule="auto"/>
              <w:ind w:left="70" w:right="98"/>
              <w:jc w:val="both"/>
              <w:rPr>
                <w:rFonts w:ascii="宋体" w:hAnsi="宋体" w:cs="宋体" w:eastAsia="宋体" w:hint="default"/>
                <w:sz w:val="18"/>
                <w:szCs w:val="18"/>
              </w:rPr>
            </w:pPr>
            <w:r>
              <w:rPr>
                <w:rFonts w:ascii="宋体" w:hAnsi="宋体" w:cs="宋体" w:eastAsia="宋体" w:hint="default"/>
                <w:spacing w:val="-3"/>
                <w:sz w:val="18"/>
                <w:szCs w:val="18"/>
              </w:rPr>
              <w:t>因本次交易产生人员转移问题。如未来因长实通信劳务采购事宜导致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长实通信或茂业通信需承担赔偿、补偿或其他法律责任及费用，承诺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方将无条件承担全部责任及费用，并赔偿因此给长实通信及茂业通信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造成的全部损失。</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tab/>
              <w:t>5</w:t>
            </w:r>
          </w:p>
          <w:p>
            <w:pPr>
              <w:pStyle w:val="TableParagraph"/>
              <w:tabs>
                <w:tab w:pos="506" w:val="left" w:leader="none"/>
              </w:tabs>
              <w:spacing w:line="319" w:lineRule="auto" w:before="76"/>
              <w:ind w:left="103" w:right="102"/>
              <w:jc w:val="left"/>
              <w:rPr>
                <w:rFonts w:ascii="宋体" w:hAnsi="宋体" w:cs="宋体" w:eastAsia="宋体" w:hint="default"/>
                <w:sz w:val="18"/>
                <w:szCs w:val="18"/>
              </w:rPr>
            </w:pPr>
            <w:r>
              <w:rPr>
                <w:rFonts w:ascii="宋体" w:hAnsi="宋体" w:cs="宋体" w:eastAsia="宋体" w:hint="default"/>
                <w:sz w:val="18"/>
                <w:szCs w:val="18"/>
              </w:rPr>
              <w:t>月</w:t>
              <w:tab/>
              <w:t>9 日</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文、</w:t>
            </w:r>
            <w:r>
              <w:rPr>
                <w:rFonts w:ascii="宋体" w:hAnsi="宋体" w:cs="宋体" w:eastAsia="宋体" w:hint="default"/>
                <w:spacing w:val="-74"/>
                <w:sz w:val="18"/>
                <w:szCs w:val="18"/>
              </w:rPr>
              <w:t> </w:t>
            </w:r>
            <w:r>
              <w:rPr>
                <w:rFonts w:ascii="宋体" w:hAnsi="宋体" w:cs="宋体" w:eastAsia="宋体" w:hint="default"/>
                <w:sz w:val="18"/>
                <w:szCs w:val="18"/>
              </w:rPr>
              <w:t>李</w:t>
            </w: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430" w:right="0"/>
              <w:jc w:val="left"/>
              <w:rPr>
                <w:rFonts w:ascii="宋体" w:hAnsi="宋体" w:cs="宋体" w:eastAsia="宋体" w:hint="default"/>
                <w:sz w:val="18"/>
                <w:szCs w:val="18"/>
              </w:rPr>
            </w:pPr>
            <w:r>
              <w:rPr>
                <w:rFonts w:ascii="宋体" w:hAnsi="宋体" w:cs="宋体" w:eastAsia="宋体" w:hint="default"/>
                <w:sz w:val="18"/>
                <w:szCs w:val="18"/>
              </w:rPr>
              <w:t>4、如果长实通信因为本次交易前已存在的事实导致其在工商、</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强</w:t>
            </w: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70" w:right="0"/>
              <w:jc w:val="left"/>
              <w:rPr>
                <w:rFonts w:ascii="宋体" w:hAnsi="宋体" w:cs="宋体" w:eastAsia="宋体" w:hint="default"/>
                <w:sz w:val="18"/>
                <w:szCs w:val="18"/>
              </w:rPr>
            </w:pPr>
            <w:r>
              <w:rPr>
                <w:rFonts w:ascii="宋体" w:hAnsi="宋体" w:cs="宋体" w:eastAsia="宋体" w:hint="default"/>
                <w:spacing w:val="-3"/>
                <w:sz w:val="18"/>
                <w:szCs w:val="18"/>
              </w:rPr>
              <w:t>税务、员工工资、社保、住房公积金、经营资质或行业主管方面受到</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相关主管单位追缴费用或处罚的</w:t>
            </w:r>
            <w:r>
              <w:rPr>
                <w:rFonts w:ascii="宋体" w:hAnsi="宋体" w:cs="宋体" w:eastAsia="宋体" w:hint="default"/>
                <w:spacing w:val="-85"/>
                <w:sz w:val="18"/>
                <w:szCs w:val="18"/>
              </w:rPr>
              <w:t>，</w:t>
            </w:r>
            <w:r>
              <w:rPr>
                <w:rFonts w:ascii="宋体" w:hAnsi="宋体" w:cs="宋体" w:eastAsia="宋体" w:hint="default"/>
                <w:sz w:val="18"/>
                <w:szCs w:val="18"/>
              </w:rPr>
              <w:t>承诺方将向长实通信全额补偿长实</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通信所有欠缴费用并承担茂业通信及长实通信因此遭受的一切损失。</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430" w:right="0"/>
              <w:jc w:val="left"/>
              <w:rPr>
                <w:rFonts w:ascii="宋体" w:hAnsi="宋体" w:cs="宋体" w:eastAsia="宋体" w:hint="default"/>
                <w:sz w:val="18"/>
                <w:szCs w:val="18"/>
              </w:rPr>
            </w:pPr>
            <w:r>
              <w:rPr>
                <w:rFonts w:ascii="宋体" w:hAnsi="宋体" w:cs="宋体" w:eastAsia="宋体" w:hint="default"/>
                <w:spacing w:val="-3"/>
                <w:sz w:val="18"/>
                <w:szCs w:val="18"/>
              </w:rPr>
              <w:t>5、如果长实通信及其分、子公司如发生因租赁房屋的权属问题，</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8" w:lineRule="exact"/>
              <w:ind w:left="70" w:right="0"/>
              <w:jc w:val="left"/>
              <w:rPr>
                <w:rFonts w:ascii="宋体" w:hAnsi="宋体" w:cs="宋体" w:eastAsia="宋体" w:hint="default"/>
                <w:sz w:val="18"/>
                <w:szCs w:val="18"/>
              </w:rPr>
            </w:pPr>
            <w:r>
              <w:rPr>
                <w:rFonts w:ascii="宋体" w:hAnsi="宋体" w:cs="宋体" w:eastAsia="宋体" w:hint="default"/>
                <w:sz w:val="18"/>
                <w:szCs w:val="18"/>
              </w:rPr>
              <w:t>在租赁期内无法继续使用租赁房屋的</w:t>
            </w:r>
            <w:r>
              <w:rPr>
                <w:rFonts w:ascii="宋体" w:hAnsi="宋体" w:cs="宋体" w:eastAsia="宋体" w:hint="default"/>
                <w:spacing w:val="-85"/>
                <w:sz w:val="18"/>
                <w:szCs w:val="18"/>
              </w:rPr>
              <w:t>，</w:t>
            </w:r>
            <w:r>
              <w:rPr>
                <w:rFonts w:ascii="宋体" w:hAnsi="宋体" w:cs="宋体" w:eastAsia="宋体" w:hint="default"/>
                <w:sz w:val="18"/>
                <w:szCs w:val="18"/>
              </w:rPr>
              <w:t>承诺方将负责及时落实租赁房</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源并承担一切损失（包括但不限于重新租赁房产而产生的搬迁费用、</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08" w:type="dxa"/>
            <w:tcBorders>
              <w:top w:val="nil" w:sz="6" w:space="0" w:color="auto"/>
              <w:left w:val="single" w:sz="4" w:space="0" w:color="000000"/>
              <w:bottom w:val="nil" w:sz="6" w:space="0" w:color="auto"/>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
        </w:tc>
        <w:tc>
          <w:tcPr>
            <w:tcW w:w="625" w:type="dxa"/>
            <w:tcBorders>
              <w:top w:val="nil" w:sz="6" w:space="0" w:color="auto"/>
              <w:left w:val="single" w:sz="4" w:space="0" w:color="000000"/>
              <w:bottom w:val="nil" w:sz="6" w:space="0" w:color="auto"/>
              <w:right w:val="single" w:sz="4" w:space="0" w:color="000000"/>
            </w:tcBorders>
          </w:tcPr>
          <w:p>
            <w:pPr/>
          </w:p>
        </w:tc>
        <w:tc>
          <w:tcPr>
            <w:tcW w:w="5500" w:type="dxa"/>
            <w:gridSpan w:val="4"/>
            <w:tcBorders>
              <w:top w:val="nil" w:sz="6" w:space="0" w:color="auto"/>
              <w:left w:val="single" w:sz="4" w:space="0" w:color="000000"/>
              <w:bottom w:val="nil" w:sz="6" w:space="0" w:color="auto"/>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租赁费用以及因此导致长实通信及其分</w:t>
            </w:r>
            <w:r>
              <w:rPr>
                <w:rFonts w:ascii="宋体" w:hAnsi="宋体" w:cs="宋体" w:eastAsia="宋体" w:hint="default"/>
                <w:spacing w:val="-85"/>
                <w:sz w:val="18"/>
                <w:szCs w:val="18"/>
              </w:rPr>
              <w:t>、</w:t>
            </w:r>
            <w:r>
              <w:rPr>
                <w:rFonts w:ascii="宋体" w:hAnsi="宋体" w:cs="宋体" w:eastAsia="宋体" w:hint="default"/>
                <w:sz w:val="18"/>
                <w:szCs w:val="18"/>
              </w:rPr>
              <w:t>子公司生产经营中止或停止</w:t>
            </w:r>
          </w:p>
        </w:tc>
        <w:tc>
          <w:tcPr>
            <w:tcW w:w="71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708"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
        </w:tc>
        <w:tc>
          <w:tcPr>
            <w:tcW w:w="5500" w:type="dxa"/>
            <w:gridSpan w:val="4"/>
            <w:tcBorders>
              <w:top w:val="nil" w:sz="6" w:space="0" w:color="auto"/>
              <w:left w:val="single" w:sz="4" w:space="0" w:color="000000"/>
              <w:bottom w:val="single" w:sz="4" w:space="0" w:color="000000"/>
              <w:right w:val="single" w:sz="4" w:space="0" w:color="000000"/>
            </w:tcBorders>
          </w:tcPr>
          <w:p>
            <w:pPr>
              <w:pStyle w:val="TableParagraph"/>
              <w:spacing w:line="206" w:lineRule="exact"/>
              <w:ind w:left="70" w:right="0"/>
              <w:jc w:val="left"/>
              <w:rPr>
                <w:rFonts w:ascii="宋体" w:hAnsi="宋体" w:cs="宋体" w:eastAsia="宋体" w:hint="default"/>
                <w:sz w:val="18"/>
                <w:szCs w:val="18"/>
              </w:rPr>
            </w:pPr>
            <w:r>
              <w:rPr>
                <w:rFonts w:ascii="宋体" w:hAnsi="宋体" w:cs="宋体" w:eastAsia="宋体" w:hint="default"/>
                <w:sz w:val="18"/>
                <w:szCs w:val="18"/>
              </w:rPr>
              <w:t>而造成的损失</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10"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708"/>
        <w:gridCol w:w="763"/>
        <w:gridCol w:w="650"/>
        <w:gridCol w:w="146"/>
        <w:gridCol w:w="4819"/>
        <w:gridCol w:w="142"/>
        <w:gridCol w:w="425"/>
        <w:gridCol w:w="172"/>
        <w:gridCol w:w="572"/>
        <w:gridCol w:w="250"/>
        <w:gridCol w:w="415"/>
        <w:gridCol w:w="576"/>
      </w:tblGrid>
      <w:tr>
        <w:trPr>
          <w:trHeight w:val="234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3" w:right="0"/>
              <w:jc w:val="left"/>
              <w:rPr>
                <w:rFonts w:ascii="宋体" w:hAnsi="宋体" w:cs="宋体" w:eastAsia="宋体" w:hint="default"/>
                <w:sz w:val="18"/>
                <w:szCs w:val="18"/>
              </w:rPr>
            </w:pPr>
            <w:r>
              <w:rPr>
                <w:rFonts w:ascii="宋体"/>
                <w:sz w:val="18"/>
              </w:rPr>
              <w:t>2015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74"/>
              <w:jc w:val="both"/>
              <w:rPr>
                <w:rFonts w:ascii="宋体" w:hAnsi="宋体" w:cs="宋体" w:eastAsia="宋体" w:hint="default"/>
                <w:sz w:val="18"/>
                <w:szCs w:val="18"/>
              </w:rPr>
            </w:pPr>
            <w:r>
              <w:rPr>
                <w:rFonts w:ascii="宋体" w:hAnsi="宋体" w:cs="宋体" w:eastAsia="宋体" w:hint="default"/>
                <w:spacing w:val="10"/>
                <w:sz w:val="18"/>
                <w:szCs w:val="18"/>
              </w:rPr>
              <w:t>邹军、</w:t>
            </w:r>
            <w:r>
              <w:rPr>
                <w:rFonts w:ascii="宋体" w:hAnsi="宋体" w:cs="宋体" w:eastAsia="宋体" w:hint="default"/>
                <w:sz w:val="18"/>
                <w:szCs w:val="18"/>
              </w:rPr>
              <w:t> </w:t>
            </w:r>
            <w:r>
              <w:rPr>
                <w:rFonts w:ascii="宋体" w:hAnsi="宋体" w:cs="宋体" w:eastAsia="宋体" w:hint="default"/>
                <w:spacing w:val="10"/>
                <w:sz w:val="18"/>
                <w:szCs w:val="18"/>
              </w:rPr>
              <w:t>长实网</w:t>
            </w:r>
            <w:r>
              <w:rPr>
                <w:rFonts w:ascii="宋体" w:hAnsi="宋体" w:cs="宋体" w:eastAsia="宋体" w:hint="default"/>
                <w:sz w:val="18"/>
                <w:szCs w:val="18"/>
              </w:rPr>
              <w:t> </w:t>
            </w:r>
            <w:r>
              <w:rPr>
                <w:rFonts w:ascii="宋体" w:hAnsi="宋体" w:cs="宋体" w:eastAsia="宋体" w:hint="default"/>
                <w:spacing w:val="8"/>
                <w:sz w:val="18"/>
                <w:szCs w:val="18"/>
              </w:rPr>
              <w:t>络、</w:t>
            </w:r>
            <w:r>
              <w:rPr>
                <w:rFonts w:ascii="宋体" w:hAnsi="宋体" w:cs="宋体" w:eastAsia="宋体" w:hint="default"/>
                <w:spacing w:val="-74"/>
                <w:sz w:val="18"/>
                <w:szCs w:val="18"/>
              </w:rPr>
              <w:t> </w:t>
            </w:r>
            <w:r>
              <w:rPr>
                <w:rFonts w:ascii="宋体" w:hAnsi="宋体" w:cs="宋体" w:eastAsia="宋体" w:hint="default"/>
                <w:sz w:val="18"/>
                <w:szCs w:val="18"/>
              </w:rPr>
              <w:t>孝</w:t>
            </w:r>
            <w:r>
              <w:rPr>
                <w:rFonts w:ascii="宋体" w:hAnsi="宋体" w:cs="宋体" w:eastAsia="宋体" w:hint="default"/>
                <w:sz w:val="18"/>
                <w:szCs w:val="18"/>
              </w:rPr>
              <w:t> 昌</w:t>
            </w:r>
            <w:r>
              <w:rPr>
                <w:rFonts w:ascii="宋体" w:hAnsi="宋体" w:cs="宋体" w:eastAsia="宋体" w:hint="default"/>
                <w:spacing w:val="33"/>
                <w:sz w:val="18"/>
                <w:szCs w:val="18"/>
              </w:rPr>
              <w:t> </w:t>
            </w:r>
            <w:r>
              <w:rPr>
                <w:rFonts w:ascii="宋体" w:hAnsi="宋体" w:cs="宋体" w:eastAsia="宋体" w:hint="default"/>
                <w:sz w:val="18"/>
                <w:szCs w:val="18"/>
              </w:rPr>
              <w:t>恒</w:t>
            </w:r>
            <w:r>
              <w:rPr>
                <w:rFonts w:ascii="宋体" w:hAnsi="宋体" w:cs="宋体" w:eastAsia="宋体" w:hint="default"/>
                <w:sz w:val="18"/>
                <w:szCs w:val="18"/>
              </w:rPr>
              <w:t> </w:t>
            </w:r>
            <w:r>
              <w:rPr>
                <w:rFonts w:ascii="宋体" w:hAnsi="宋体" w:cs="宋体" w:eastAsia="宋体" w:hint="default"/>
                <w:spacing w:val="8"/>
                <w:sz w:val="18"/>
                <w:szCs w:val="18"/>
              </w:rPr>
              <w:t>隆、</w:t>
            </w:r>
            <w:r>
              <w:rPr>
                <w:rFonts w:ascii="宋体" w:hAnsi="宋体" w:cs="宋体" w:eastAsia="宋体" w:hint="default"/>
                <w:spacing w:val="-74"/>
                <w:sz w:val="18"/>
                <w:szCs w:val="18"/>
              </w:rPr>
              <w:t> </w:t>
            </w:r>
            <w:r>
              <w:rPr>
                <w:rFonts w:ascii="宋体" w:hAnsi="宋体" w:cs="宋体" w:eastAsia="宋体" w:hint="default"/>
                <w:sz w:val="18"/>
                <w:szCs w:val="18"/>
              </w:rPr>
              <w:t>长</w:t>
            </w:r>
            <w:r>
              <w:rPr>
                <w:rFonts w:ascii="宋体" w:hAnsi="宋体" w:cs="宋体" w:eastAsia="宋体" w:hint="default"/>
                <w:sz w:val="18"/>
                <w:szCs w:val="18"/>
              </w:rPr>
              <w:t> 实</w:t>
            </w:r>
            <w:r>
              <w:rPr>
                <w:rFonts w:ascii="宋体" w:hAnsi="宋体" w:cs="宋体" w:eastAsia="宋体" w:hint="default"/>
                <w:spacing w:val="33"/>
                <w:sz w:val="18"/>
                <w:szCs w:val="18"/>
              </w:rPr>
              <w:t> </w:t>
            </w:r>
            <w:r>
              <w:rPr>
                <w:rFonts w:ascii="宋体" w:hAnsi="宋体" w:cs="宋体" w:eastAsia="宋体" w:hint="default"/>
                <w:sz w:val="18"/>
                <w:szCs w:val="18"/>
              </w:rPr>
              <w:t>锦</w:t>
            </w:r>
            <w:r>
              <w:rPr>
                <w:rFonts w:ascii="宋体" w:hAnsi="宋体" w:cs="宋体" w:eastAsia="宋体" w:hint="default"/>
                <w:sz w:val="18"/>
                <w:szCs w:val="18"/>
              </w:rPr>
              <w:t> </w:t>
            </w:r>
            <w:r>
              <w:rPr>
                <w:rFonts w:ascii="宋体" w:hAnsi="宋体" w:cs="宋体" w:eastAsia="宋体" w:hint="default"/>
                <w:spacing w:val="8"/>
                <w:sz w:val="18"/>
                <w:szCs w:val="18"/>
              </w:rPr>
              <w:t>轩、</w:t>
            </w:r>
            <w:r>
              <w:rPr>
                <w:rFonts w:ascii="宋体" w:hAnsi="宋体" w:cs="宋体" w:eastAsia="宋体" w:hint="default"/>
                <w:spacing w:val="-74"/>
                <w:sz w:val="18"/>
                <w:szCs w:val="18"/>
              </w:rPr>
              <w:t> </w:t>
            </w:r>
            <w:r>
              <w:rPr>
                <w:rFonts w:ascii="宋体" w:hAnsi="宋体" w:cs="宋体" w:eastAsia="宋体" w:hint="default"/>
                <w:sz w:val="18"/>
                <w:szCs w:val="18"/>
              </w:rPr>
              <w:t>张</w:t>
            </w:r>
            <w:r>
              <w:rPr>
                <w:rFonts w:ascii="宋体" w:hAnsi="宋体" w:cs="宋体" w:eastAsia="宋体" w:hint="default"/>
                <w:sz w:val="18"/>
                <w:szCs w:val="18"/>
              </w:rPr>
              <w:t> </w:t>
            </w:r>
            <w:r>
              <w:rPr>
                <w:rFonts w:ascii="宋体" w:hAnsi="宋体" w:cs="宋体" w:eastAsia="宋体" w:hint="default"/>
                <w:spacing w:val="8"/>
                <w:sz w:val="18"/>
                <w:szCs w:val="18"/>
              </w:rPr>
              <w:t>文、</w:t>
            </w:r>
            <w:r>
              <w:rPr>
                <w:rFonts w:ascii="宋体" w:hAnsi="宋体" w:cs="宋体" w:eastAsia="宋体" w:hint="default"/>
                <w:spacing w:val="-74"/>
                <w:sz w:val="18"/>
                <w:szCs w:val="18"/>
              </w:rPr>
              <w:t> </w:t>
            </w:r>
            <w:r>
              <w:rPr>
                <w:rFonts w:ascii="宋体" w:hAnsi="宋体" w:cs="宋体" w:eastAsia="宋体" w:hint="default"/>
                <w:sz w:val="18"/>
                <w:szCs w:val="18"/>
              </w:rPr>
              <w:t>李</w:t>
            </w:r>
            <w:r>
              <w:rPr>
                <w:rFonts w:ascii="宋体" w:hAnsi="宋体" w:cs="宋体" w:eastAsia="宋体" w:hint="default"/>
                <w:sz w:val="18"/>
                <w:szCs w:val="18"/>
              </w:rPr>
              <w:t> 强</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29" w:right="101"/>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42"/>
                <w:sz w:val="18"/>
                <w:szCs w:val="18"/>
              </w:rPr>
              <w:t> </w:t>
            </w:r>
            <w:r>
              <w:rPr>
                <w:rFonts w:ascii="宋体" w:hAnsi="宋体" w:cs="宋体" w:eastAsia="宋体" w:hint="default"/>
                <w:sz w:val="18"/>
                <w:szCs w:val="18"/>
              </w:rPr>
              <w:t>固</w:t>
            </w:r>
            <w:r>
              <w:rPr>
                <w:rFonts w:ascii="宋体" w:hAnsi="宋体" w:cs="宋体" w:eastAsia="宋体" w:hint="default"/>
                <w:sz w:val="18"/>
                <w:szCs w:val="18"/>
              </w:rPr>
              <w:t> 定</w:t>
            </w:r>
            <w:r>
              <w:rPr>
                <w:rFonts w:ascii="宋体" w:hAnsi="宋体" w:cs="宋体" w:eastAsia="宋体" w:hint="default"/>
                <w:spacing w:val="-4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5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6、长实通信对其商标、专利、软件著作权享有独家所有权，不</w:t>
            </w:r>
          </w:p>
          <w:p>
            <w:pPr>
              <w:pStyle w:val="TableParagraph"/>
              <w:spacing w:line="232" w:lineRule="exact" w:before="24"/>
              <w:ind w:left="463" w:right="9" w:hanging="360"/>
              <w:jc w:val="left"/>
              <w:rPr>
                <w:rFonts w:ascii="宋体" w:hAnsi="宋体" w:cs="宋体" w:eastAsia="宋体" w:hint="default"/>
                <w:sz w:val="18"/>
                <w:szCs w:val="18"/>
              </w:rPr>
            </w:pPr>
            <w:r>
              <w:rPr>
                <w:rFonts w:ascii="宋体" w:hAnsi="宋体" w:cs="宋体" w:eastAsia="宋体" w:hint="default"/>
                <w:sz w:val="18"/>
                <w:szCs w:val="18"/>
              </w:rPr>
              <w:t>存在许可他人使用的情况，亦不存在权属纠纷或潜在权属纠纷。 </w:t>
            </w:r>
            <w:r>
              <w:rPr>
                <w:rFonts w:ascii="宋体" w:hAnsi="宋体" w:cs="宋体" w:eastAsia="宋体" w:hint="default"/>
                <w:spacing w:val="-3"/>
                <w:sz w:val="18"/>
                <w:szCs w:val="18"/>
              </w:rPr>
              <w:t>7、长实通信合法拥有保证正常生产经营所需的办公设备、商标、</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专利、软件著作权等资产的所有权和使用权，具有独立和完整的资产</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3"/>
                <w:sz w:val="18"/>
                <w:szCs w:val="18"/>
              </w:rPr>
              <w:t>及业务结构，对其主要资产拥有合法的所有权，资产权属清晰，不存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在股东非经营性占用资金的情形。</w:t>
            </w:r>
          </w:p>
          <w:p>
            <w:pPr>
              <w:pStyle w:val="TableParagraph"/>
              <w:spacing w:line="232" w:lineRule="exact" w:before="1"/>
              <w:ind w:left="103" w:right="100" w:firstLine="360"/>
              <w:jc w:val="left"/>
              <w:rPr>
                <w:rFonts w:ascii="宋体" w:hAnsi="宋体" w:cs="宋体" w:eastAsia="宋体" w:hint="default"/>
                <w:sz w:val="18"/>
                <w:szCs w:val="18"/>
              </w:rPr>
            </w:pPr>
            <w:r>
              <w:rPr>
                <w:rFonts w:ascii="宋体" w:hAnsi="宋体" w:cs="宋体" w:eastAsia="宋体" w:hint="default"/>
                <w:sz w:val="18"/>
                <w:szCs w:val="18"/>
              </w:rPr>
              <w:t>8、长实通信不存在诉讼、仲裁、司法强制执行或其他妨碍公司 </w:t>
            </w:r>
            <w:r>
              <w:rPr>
                <w:rFonts w:ascii="宋体" w:hAnsi="宋体" w:cs="宋体" w:eastAsia="宋体" w:hint="default"/>
                <w:spacing w:val="-3"/>
                <w:sz w:val="18"/>
                <w:szCs w:val="18"/>
              </w:rPr>
              <w:t>权属转移的情况，未发生违反法律、《公司章程》的对外担保。若违</w:t>
            </w:r>
          </w:p>
          <w:p>
            <w:pPr>
              <w:pStyle w:val="TableParagraph"/>
              <w:spacing w:line="232" w:lineRule="exact" w:before="3"/>
              <w:ind w:left="103" w:right="101"/>
              <w:jc w:val="left"/>
              <w:rPr>
                <w:rFonts w:ascii="宋体" w:hAnsi="宋体" w:cs="宋体" w:eastAsia="宋体" w:hint="default"/>
                <w:sz w:val="18"/>
                <w:szCs w:val="18"/>
              </w:rPr>
            </w:pPr>
            <w:r>
              <w:rPr>
                <w:rFonts w:ascii="宋体" w:hAnsi="宋体" w:cs="宋体" w:eastAsia="宋体" w:hint="default"/>
                <w:spacing w:val="-3"/>
                <w:sz w:val="18"/>
                <w:szCs w:val="18"/>
              </w:rPr>
              <w:t>反上述承诺，承诺方将承担因此而给茂业通信及长实通信造成的一切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经济损失，并同意相互承担连带责任。</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tab/>
              <w:t>5</w:t>
            </w:r>
          </w:p>
          <w:p>
            <w:pPr>
              <w:pStyle w:val="TableParagraph"/>
              <w:tabs>
                <w:tab w:pos="506" w:val="left" w:leader="none"/>
              </w:tabs>
              <w:spacing w:line="316" w:lineRule="auto" w:before="76"/>
              <w:ind w:left="103" w:right="135"/>
              <w:jc w:val="left"/>
              <w:rPr>
                <w:rFonts w:ascii="宋体" w:hAnsi="宋体" w:cs="宋体" w:eastAsia="宋体" w:hint="default"/>
                <w:sz w:val="18"/>
                <w:szCs w:val="18"/>
              </w:rPr>
            </w:pPr>
            <w:r>
              <w:rPr>
                <w:rFonts w:ascii="宋体" w:hAnsi="宋体" w:cs="宋体" w:eastAsia="宋体" w:hint="default"/>
                <w:sz w:val="18"/>
                <w:szCs w:val="18"/>
              </w:rPr>
              <w:t>月</w:t>
              <w:tab/>
              <w:t>9 日</w:t>
            </w:r>
          </w:p>
        </w:tc>
        <w:tc>
          <w:tcPr>
            <w:tcW w:w="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22"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7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29" w:hRule="exact"/>
        </w:trPr>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sz w:val="18"/>
              </w:rPr>
              <w:t>2015</w:t>
            </w:r>
          </w:p>
        </w:tc>
        <w:tc>
          <w:tcPr>
            <w:tcW w:w="763" w:type="dxa"/>
            <w:tcBorders>
              <w:top w:val="single" w:sz="4" w:space="0" w:color="000000"/>
              <w:left w:val="single" w:sz="4" w:space="0" w:color="000000"/>
              <w:bottom w:val="nil" w:sz="6" w:space="0" w:color="auto"/>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
        </w:tc>
        <w:tc>
          <w:tcPr>
            <w:tcW w:w="4966" w:type="dxa"/>
            <w:gridSpan w:val="2"/>
            <w:tcBorders>
              <w:top w:val="single" w:sz="4" w:space="0" w:color="000000"/>
              <w:left w:val="single" w:sz="4" w:space="0" w:color="000000"/>
              <w:bottom w:val="nil" w:sz="6" w:space="0" w:color="auto"/>
              <w:right w:val="single" w:sz="4" w:space="0" w:color="000000"/>
            </w:tcBorders>
          </w:tcPr>
          <w:p>
            <w:pPr/>
          </w:p>
        </w:tc>
        <w:tc>
          <w:tcPr>
            <w:tcW w:w="738" w:type="dxa"/>
            <w:gridSpan w:val="3"/>
            <w:tcBorders>
              <w:top w:val="single" w:sz="4" w:space="0" w:color="000000"/>
              <w:left w:val="single" w:sz="4" w:space="0" w:color="000000"/>
              <w:bottom w:val="nil" w:sz="6" w:space="0" w:color="auto"/>
              <w:right w:val="single" w:sz="4" w:space="0" w:color="000000"/>
            </w:tcBorders>
          </w:tcPr>
          <w:p>
            <w:pPr/>
          </w:p>
        </w:tc>
        <w:tc>
          <w:tcPr>
            <w:tcW w:w="1237" w:type="dxa"/>
            <w:gridSpan w:val="3"/>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
        </w:tc>
      </w:tr>
      <w:tr>
        <w:trPr>
          <w:trHeight w:val="1168"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邹军</w:t>
            </w: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限期</w:t>
            </w:r>
          </w:p>
        </w:tc>
        <w:tc>
          <w:tcPr>
            <w:tcW w:w="4966"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承诺：1、本承诺项下被保证的债权是《盈利预测补偿协</w:t>
            </w:r>
          </w:p>
          <w:p>
            <w:pPr>
              <w:pStyle w:val="TableParagraph"/>
              <w:spacing w:line="237" w:lineRule="auto"/>
              <w:ind w:left="103" w:right="79"/>
              <w:jc w:val="both"/>
              <w:rPr>
                <w:rFonts w:ascii="宋体" w:hAnsi="宋体" w:cs="宋体" w:eastAsia="宋体" w:hint="default"/>
                <w:sz w:val="18"/>
                <w:szCs w:val="18"/>
              </w:rPr>
            </w:pPr>
            <w:r>
              <w:rPr>
                <w:rFonts w:ascii="宋体" w:hAnsi="宋体" w:cs="宋体" w:eastAsia="宋体" w:hint="default"/>
                <w:sz w:val="18"/>
                <w:szCs w:val="18"/>
              </w:rPr>
              <w:t>议》资产出售方应向茂业通信支付现金补偿金的义务。2、本 </w:t>
            </w:r>
            <w:r>
              <w:rPr>
                <w:rFonts w:ascii="宋体" w:hAnsi="宋体" w:cs="宋体" w:eastAsia="宋体" w:hint="default"/>
                <w:spacing w:val="2"/>
                <w:sz w:val="18"/>
                <w:szCs w:val="18"/>
              </w:rPr>
              <w:t>人保证担保的范围为《盈利预测补偿协议》资产出售方应向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茂业通信支付的现金补偿金，及其相应的利息、违约金、赔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偿金及实现债权的费用（如有）。保证方式为连带责任保证。</w:t>
            </w:r>
          </w:p>
        </w:tc>
        <w:tc>
          <w:tcPr>
            <w:tcW w:w="738" w:type="dxa"/>
            <w:gridSpan w:val="3"/>
            <w:tcBorders>
              <w:top w:val="nil" w:sz="6" w:space="0" w:color="auto"/>
              <w:left w:val="single" w:sz="4" w:space="0" w:color="000000"/>
              <w:bottom w:val="nil" w:sz="6" w:space="0" w:color="auto"/>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sz w:val="18"/>
              </w:rPr>
              <w:t>2015</w:t>
            </w:r>
          </w:p>
          <w:p>
            <w:pPr>
              <w:pStyle w:val="TableParagraph"/>
              <w:tabs>
                <w:tab w:pos="506" w:val="left" w:leader="none"/>
              </w:tabs>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tab/>
              <w:t>5</w:t>
            </w:r>
          </w:p>
          <w:p>
            <w:pPr>
              <w:pStyle w:val="TableParagraph"/>
              <w:tabs>
                <w:tab w:pos="506" w:val="left" w:leader="none"/>
              </w:tabs>
              <w:spacing w:line="232" w:lineRule="exact" w:before="24"/>
              <w:ind w:left="103" w:right="129"/>
              <w:jc w:val="left"/>
              <w:rPr>
                <w:rFonts w:ascii="宋体" w:hAnsi="宋体" w:cs="宋体" w:eastAsia="宋体" w:hint="default"/>
                <w:sz w:val="18"/>
                <w:szCs w:val="18"/>
              </w:rPr>
            </w:pPr>
            <w:r>
              <w:rPr>
                <w:rFonts w:ascii="宋体" w:hAnsi="宋体" w:cs="宋体" w:eastAsia="宋体" w:hint="default"/>
                <w:sz w:val="18"/>
                <w:szCs w:val="18"/>
              </w:rPr>
              <w:t>月</w:t>
              <w:tab/>
              <w:t>9 日</w:t>
            </w:r>
          </w:p>
        </w:tc>
        <w:tc>
          <w:tcPr>
            <w:tcW w:w="1237"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75"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宋体" w:hAnsi="宋体" w:cs="宋体" w:eastAsia="宋体" w:hint="default"/>
                <w:sz w:val="18"/>
                <w:szCs w:val="18"/>
              </w:rPr>
              <w:t>承</w:t>
            </w:r>
            <w:r>
              <w:rPr>
                <w:rFonts w:ascii="宋体" w:hAnsi="宋体" w:cs="宋体" w:eastAsia="宋体" w:hint="default"/>
                <w:spacing w:val="-52"/>
                <w:sz w:val="18"/>
                <w:szCs w:val="18"/>
              </w:rPr>
              <w:t> </w:t>
            </w:r>
            <w:r>
              <w:rPr>
                <w:rFonts w:ascii="宋体" w:hAnsi="宋体" w:cs="宋体" w:eastAsia="宋体" w:hint="default"/>
                <w:sz w:val="18"/>
                <w:szCs w:val="18"/>
              </w:rPr>
              <w:t>诺</w:t>
            </w:r>
            <w:r>
              <w:rPr>
                <w:rFonts w:ascii="宋体" w:hAnsi="宋体" w:cs="宋体" w:eastAsia="宋体" w:hint="default"/>
                <w:spacing w:val="-52"/>
                <w:sz w:val="18"/>
                <w:szCs w:val="18"/>
              </w:rPr>
              <w:t> </w:t>
            </w:r>
            <w:r>
              <w:rPr>
                <w:rFonts w:ascii="宋体" w:hAnsi="宋体" w:cs="宋体" w:eastAsia="宋体" w:hint="default"/>
                <w:sz w:val="18"/>
                <w:szCs w:val="18"/>
              </w:rPr>
              <w:t>之</w:t>
            </w:r>
            <w:r>
              <w:rPr>
                <w:rFonts w:ascii="宋体" w:hAnsi="宋体" w:cs="宋体" w:eastAsia="宋体" w:hint="default"/>
                <w:spacing w:val="-52"/>
                <w:sz w:val="18"/>
                <w:szCs w:val="18"/>
              </w:rPr>
              <w:t> </w:t>
            </w:r>
            <w:r>
              <w:rPr>
                <w:rFonts w:ascii="宋体" w:hAnsi="宋体" w:cs="宋体" w:eastAsia="宋体" w:hint="default"/>
                <w:sz w:val="18"/>
                <w:szCs w:val="18"/>
              </w:rPr>
              <w:t>日</w:t>
            </w:r>
          </w:p>
          <w:p>
            <w:pPr>
              <w:pStyle w:val="TableParagraph"/>
              <w:spacing w:line="237" w:lineRule="auto"/>
              <w:ind w:left="75" w:right="96"/>
              <w:jc w:val="both"/>
              <w:rPr>
                <w:rFonts w:ascii="宋体" w:hAnsi="宋体" w:cs="宋体" w:eastAsia="宋体" w:hint="default"/>
                <w:sz w:val="18"/>
                <w:szCs w:val="18"/>
              </w:rPr>
            </w:pPr>
            <w:r>
              <w:rPr>
                <w:rFonts w:ascii="宋体" w:hAnsi="宋体" w:cs="宋体" w:eastAsia="宋体" w:hint="default"/>
                <w:sz w:val="18"/>
                <w:szCs w:val="18"/>
              </w:rPr>
              <w:t>起至 2017</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z w:val="18"/>
                <w:szCs w:val="18"/>
              </w:rPr>
              <w:t> 业</w:t>
            </w:r>
            <w:r>
              <w:rPr>
                <w:rFonts w:ascii="宋体" w:hAnsi="宋体" w:cs="宋体" w:eastAsia="宋体" w:hint="default"/>
                <w:spacing w:val="-52"/>
                <w:sz w:val="18"/>
                <w:szCs w:val="18"/>
              </w:rPr>
              <w:t> </w:t>
            </w:r>
            <w:r>
              <w:rPr>
                <w:rFonts w:ascii="宋体" w:hAnsi="宋体" w:cs="宋体" w:eastAsia="宋体" w:hint="default"/>
                <w:sz w:val="18"/>
                <w:szCs w:val="18"/>
              </w:rPr>
              <w:t>绩</w:t>
            </w:r>
            <w:r>
              <w:rPr>
                <w:rFonts w:ascii="宋体" w:hAnsi="宋体" w:cs="宋体" w:eastAsia="宋体" w:hint="default"/>
                <w:spacing w:val="-52"/>
                <w:sz w:val="18"/>
                <w:szCs w:val="18"/>
              </w:rPr>
              <w:t> </w:t>
            </w:r>
            <w:r>
              <w:rPr>
                <w:rFonts w:ascii="宋体" w:hAnsi="宋体" w:cs="宋体" w:eastAsia="宋体" w:hint="default"/>
                <w:sz w:val="18"/>
                <w:szCs w:val="18"/>
              </w:rPr>
              <w:t>及</w:t>
            </w:r>
            <w:r>
              <w:rPr>
                <w:rFonts w:ascii="宋体" w:hAnsi="宋体" w:cs="宋体" w:eastAsia="宋体" w:hint="default"/>
                <w:spacing w:val="-52"/>
                <w:sz w:val="18"/>
                <w:szCs w:val="18"/>
              </w:rPr>
              <w:t> </w:t>
            </w:r>
            <w:r>
              <w:rPr>
                <w:rFonts w:ascii="宋体" w:hAnsi="宋体" w:cs="宋体" w:eastAsia="宋体" w:hint="default"/>
                <w:sz w:val="18"/>
                <w:szCs w:val="18"/>
              </w:rPr>
              <w:t>补</w:t>
            </w:r>
            <w:r>
              <w:rPr>
                <w:rFonts w:ascii="宋体" w:hAnsi="宋体" w:cs="宋体" w:eastAsia="宋体" w:hint="default"/>
                <w:spacing w:val="-52"/>
                <w:sz w:val="18"/>
                <w:szCs w:val="18"/>
              </w:rPr>
              <w:t> </w:t>
            </w:r>
            <w:r>
              <w:rPr>
                <w:rFonts w:ascii="宋体" w:hAnsi="宋体" w:cs="宋体" w:eastAsia="宋体" w:hint="default"/>
                <w:sz w:val="18"/>
                <w:szCs w:val="18"/>
              </w:rPr>
              <w:t>偿</w:t>
            </w:r>
            <w:r>
              <w:rPr>
                <w:rFonts w:ascii="宋体" w:hAnsi="宋体" w:cs="宋体" w:eastAsia="宋体" w:hint="default"/>
                <w:sz w:val="18"/>
                <w:szCs w:val="18"/>
              </w:rPr>
              <w:t> 承</w:t>
            </w:r>
            <w:r>
              <w:rPr>
                <w:rFonts w:ascii="宋体" w:hAnsi="宋体" w:cs="宋体" w:eastAsia="宋体" w:hint="default"/>
                <w:spacing w:val="-52"/>
                <w:sz w:val="18"/>
                <w:szCs w:val="18"/>
              </w:rPr>
              <w:t> </w:t>
            </w:r>
            <w:r>
              <w:rPr>
                <w:rFonts w:ascii="宋体" w:hAnsi="宋体" w:cs="宋体" w:eastAsia="宋体" w:hint="default"/>
                <w:sz w:val="18"/>
                <w:szCs w:val="18"/>
              </w:rPr>
              <w:t>诺</w:t>
            </w:r>
            <w:r>
              <w:rPr>
                <w:rFonts w:ascii="宋体" w:hAnsi="宋体" w:cs="宋体" w:eastAsia="宋体" w:hint="default"/>
                <w:spacing w:val="-52"/>
                <w:sz w:val="18"/>
                <w:szCs w:val="18"/>
              </w:rPr>
              <w:t> </w:t>
            </w:r>
            <w:r>
              <w:rPr>
                <w:rFonts w:ascii="宋体" w:hAnsi="宋体" w:cs="宋体" w:eastAsia="宋体" w:hint="default"/>
                <w:sz w:val="18"/>
                <w:szCs w:val="18"/>
              </w:rPr>
              <w:t>履</w:t>
            </w:r>
            <w:r>
              <w:rPr>
                <w:rFonts w:ascii="宋体" w:hAnsi="宋体" w:cs="宋体" w:eastAsia="宋体" w:hint="default"/>
                <w:spacing w:val="-52"/>
                <w:sz w:val="18"/>
                <w:szCs w:val="18"/>
              </w:rPr>
              <w:t> </w:t>
            </w:r>
            <w:r>
              <w:rPr>
                <w:rFonts w:ascii="宋体" w:hAnsi="宋体" w:cs="宋体" w:eastAsia="宋体" w:hint="default"/>
                <w:sz w:val="18"/>
                <w:szCs w:val="18"/>
              </w:rPr>
              <w:t>行</w:t>
            </w:r>
            <w:r>
              <w:rPr>
                <w:rFonts w:ascii="宋体" w:hAnsi="宋体" w:cs="宋体" w:eastAsia="宋体" w:hint="default"/>
                <w:spacing w:val="-52"/>
                <w:sz w:val="18"/>
                <w:szCs w:val="18"/>
              </w:rPr>
              <w:t> </w:t>
            </w:r>
            <w:r>
              <w:rPr>
                <w:rFonts w:ascii="宋体" w:hAnsi="宋体" w:cs="宋体" w:eastAsia="宋体" w:hint="default"/>
                <w:sz w:val="18"/>
                <w:szCs w:val="18"/>
              </w:rPr>
              <w:t>完</w:t>
            </w:r>
            <w:r>
              <w:rPr>
                <w:rFonts w:ascii="宋体" w:hAnsi="宋体" w:cs="宋体" w:eastAsia="宋体" w:hint="default"/>
                <w:sz w:val="18"/>
                <w:szCs w:val="18"/>
              </w:rPr>
              <w:t> 毕之日止。</w:t>
            </w: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30" w:hRule="exact"/>
        </w:trPr>
        <w:tc>
          <w:tcPr>
            <w:tcW w:w="70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63" w:type="dxa"/>
            <w:tcBorders>
              <w:top w:val="nil" w:sz="6" w:space="0" w:color="auto"/>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
        </w:tc>
        <w:tc>
          <w:tcPr>
            <w:tcW w:w="4966" w:type="dxa"/>
            <w:gridSpan w:val="2"/>
            <w:tcBorders>
              <w:top w:val="nil" w:sz="6" w:space="0" w:color="auto"/>
              <w:left w:val="single" w:sz="4" w:space="0" w:color="000000"/>
              <w:bottom w:val="single" w:sz="4" w:space="0" w:color="000000"/>
              <w:right w:val="single" w:sz="4" w:space="0" w:color="000000"/>
            </w:tcBorders>
          </w:tcPr>
          <w:p>
            <w:pPr/>
          </w:p>
        </w:tc>
        <w:tc>
          <w:tcPr>
            <w:tcW w:w="738" w:type="dxa"/>
            <w:gridSpan w:val="3"/>
            <w:tcBorders>
              <w:top w:val="nil" w:sz="6" w:space="0" w:color="auto"/>
              <w:left w:val="single" w:sz="4" w:space="0" w:color="000000"/>
              <w:bottom w:val="single" w:sz="4" w:space="0" w:color="000000"/>
              <w:right w:val="single" w:sz="4" w:space="0" w:color="000000"/>
            </w:tcBorders>
          </w:tcPr>
          <w:p>
            <w:pPr/>
          </w:p>
        </w:tc>
        <w:tc>
          <w:tcPr>
            <w:tcW w:w="1237" w:type="dxa"/>
            <w:gridSpan w:val="3"/>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5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1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sz w:val="18"/>
              </w:rPr>
              <w:t>2015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22"/>
                <w:sz w:val="18"/>
                <w:szCs w:val="18"/>
              </w:rPr>
              <w:t>邹军、长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实网络</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47"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42"/>
                <w:sz w:val="18"/>
                <w:szCs w:val="18"/>
              </w:rPr>
              <w:t> </w:t>
            </w:r>
            <w:r>
              <w:rPr>
                <w:rFonts w:ascii="宋体" w:hAnsi="宋体" w:cs="宋体" w:eastAsia="宋体" w:hint="default"/>
                <w:sz w:val="18"/>
                <w:szCs w:val="18"/>
              </w:rPr>
              <w:t>固</w:t>
            </w:r>
          </w:p>
          <w:p>
            <w:pPr>
              <w:pStyle w:val="TableParagraph"/>
              <w:spacing w:line="316" w:lineRule="auto" w:before="76"/>
              <w:ind w:left="147" w:right="145"/>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42"/>
                <w:sz w:val="18"/>
                <w:szCs w:val="18"/>
              </w:rPr>
              <w:t> </w:t>
            </w:r>
            <w:r>
              <w:rPr>
                <w:rFonts w:ascii="宋体" w:hAnsi="宋体" w:cs="宋体" w:eastAsia="宋体" w:hint="default"/>
                <w:sz w:val="18"/>
                <w:szCs w:val="18"/>
              </w:rPr>
              <w:t>期</w:t>
            </w:r>
            <w:r>
              <w:rPr>
                <w:rFonts w:ascii="宋体" w:hAnsi="宋体" w:cs="宋体" w:eastAsia="宋体" w:hint="default"/>
                <w:sz w:val="18"/>
                <w:szCs w:val="18"/>
              </w:rPr>
              <w:t> 限</w:t>
            </w:r>
          </w:p>
        </w:tc>
        <w:tc>
          <w:tcPr>
            <w:tcW w:w="5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16"/>
              <w:ind w:left="103" w:right="96" w:firstLine="360"/>
              <w:jc w:val="both"/>
              <w:rPr>
                <w:rFonts w:ascii="宋体" w:hAnsi="宋体" w:cs="宋体" w:eastAsia="宋体" w:hint="default"/>
                <w:sz w:val="18"/>
                <w:szCs w:val="18"/>
              </w:rPr>
            </w:pPr>
            <w:r>
              <w:rPr>
                <w:rFonts w:ascii="宋体" w:hAnsi="宋体" w:cs="宋体" w:eastAsia="宋体" w:hint="default"/>
                <w:sz w:val="18"/>
                <w:szCs w:val="18"/>
              </w:rPr>
              <w:t>分立前后债务承接安排承诺：1、根据《公司法》的规定，长 </w:t>
            </w:r>
            <w:r>
              <w:rPr>
                <w:rFonts w:ascii="宋体" w:hAnsi="宋体" w:cs="宋体" w:eastAsia="宋体" w:hint="default"/>
                <w:spacing w:val="3"/>
                <w:sz w:val="18"/>
                <w:szCs w:val="18"/>
              </w:rPr>
              <w:t>实通信分立前的债务由分立后的长实通信、长实建设承担连带责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任，若出现应由长实建设承担的债务而相关债权人向长实通信主张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债权的情况，承诺方将以连带责任的方式共同承担全部债务并向长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实建设追偿，不给长实通信造成损失；2、如因长实通信派生分立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而导致被相关权利人要求承担派生分立过程中的或有负债，承诺方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将无偿代长实通信支付相关费用（包括但不限于债务金额、诉讼费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用、律师费用等），长实通信无需支付任何费用。</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sz w:val="18"/>
              </w:rPr>
              <w:t>2015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 5</w:t>
            </w:r>
            <w:r>
              <w:rPr>
                <w:rFonts w:ascii="宋体" w:hAnsi="宋体" w:cs="宋体" w:eastAsia="宋体" w:hint="default"/>
                <w:spacing w:val="-69"/>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正常 履行</w:t>
            </w:r>
          </w:p>
        </w:tc>
      </w:tr>
      <w:tr>
        <w:trPr>
          <w:trHeight w:val="322" w:hRule="exact"/>
        </w:trPr>
        <w:tc>
          <w:tcPr>
            <w:tcW w:w="9638" w:type="dxa"/>
            <w:gridSpan w:val="12"/>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03" w:right="233"/>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76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8"/>
              <w:ind w:left="103" w:right="161"/>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42"/>
                <w:sz w:val="18"/>
                <w:szCs w:val="18"/>
              </w:rPr>
              <w:t> </w:t>
            </w:r>
            <w:r>
              <w:rPr>
                <w:rFonts w:ascii="宋体" w:hAnsi="宋体" w:cs="宋体" w:eastAsia="宋体" w:hint="default"/>
                <w:sz w:val="18"/>
                <w:szCs w:val="18"/>
              </w:rPr>
              <w:t>诺</w:t>
            </w:r>
            <w:r>
              <w:rPr>
                <w:rFonts w:ascii="宋体" w:hAnsi="宋体" w:cs="宋体" w:eastAsia="宋体" w:hint="default"/>
                <w:sz w:val="18"/>
                <w:szCs w:val="18"/>
              </w:rPr>
              <w:t> 方</w:t>
            </w:r>
          </w:p>
        </w:tc>
        <w:tc>
          <w:tcPr>
            <w:tcW w:w="65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8"/>
              <w:ind w:left="10" w:right="272"/>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承诺事项(内容)</w:t>
            </w:r>
          </w:p>
        </w:tc>
        <w:tc>
          <w:tcPr>
            <w:tcW w:w="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03" w:right="12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35" w:right="31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03" w:right="51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76" w:hRule="exact"/>
        </w:trPr>
        <w:tc>
          <w:tcPr>
            <w:tcW w:w="708" w:type="dxa"/>
            <w:tcBorders>
              <w:top w:val="single" w:sz="4" w:space="0" w:color="000000"/>
              <w:left w:val="single" w:sz="4" w:space="0" w:color="000000"/>
              <w:bottom w:val="nil" w:sz="6" w:space="0" w:color="auto"/>
              <w:right w:val="single" w:sz="4" w:space="0" w:color="000000"/>
            </w:tcBorders>
          </w:tcPr>
          <w:p>
            <w:pPr/>
          </w:p>
        </w:tc>
        <w:tc>
          <w:tcPr>
            <w:tcW w:w="763" w:type="dxa"/>
            <w:tcBorders>
              <w:top w:val="single" w:sz="4" w:space="0" w:color="000000"/>
              <w:left w:val="single" w:sz="4" w:space="0" w:color="000000"/>
              <w:bottom w:val="nil" w:sz="6" w:space="0" w:color="auto"/>
              <w:right w:val="nil" w:sz="6" w:space="0" w:color="auto"/>
            </w:tcBorders>
          </w:tcPr>
          <w:p>
            <w:pPr/>
          </w:p>
        </w:tc>
        <w:tc>
          <w:tcPr>
            <w:tcW w:w="650" w:type="dxa"/>
            <w:tcBorders>
              <w:top w:val="single" w:sz="4" w:space="0" w:color="000000"/>
              <w:left w:val="nil" w:sz="6" w:space="0" w:color="auto"/>
              <w:bottom w:val="nil" w:sz="6" w:space="0" w:color="auto"/>
              <w:right w:val="single" w:sz="4" w:space="0" w:color="000000"/>
            </w:tcBorders>
          </w:tcPr>
          <w:p>
            <w:pPr/>
          </w:p>
        </w:tc>
        <w:tc>
          <w:tcPr>
            <w:tcW w:w="5107"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长实建设不再开展工程业务及现有业务执行完成后转让或</w:t>
            </w:r>
          </w:p>
        </w:tc>
        <w:tc>
          <w:tcPr>
            <w:tcW w:w="596" w:type="dxa"/>
            <w:gridSpan w:val="2"/>
            <w:tcBorders>
              <w:top w:val="single" w:sz="4" w:space="0" w:color="000000"/>
              <w:left w:val="single" w:sz="4" w:space="0" w:color="000000"/>
              <w:bottom w:val="nil" w:sz="6" w:space="0" w:color="auto"/>
              <w:right w:val="single" w:sz="4" w:space="0" w:color="000000"/>
            </w:tcBorders>
          </w:tcPr>
          <w:p>
            <w:pPr/>
          </w:p>
        </w:tc>
        <w:tc>
          <w:tcPr>
            <w:tcW w:w="822" w:type="dxa"/>
            <w:gridSpan w:val="2"/>
            <w:tcBorders>
              <w:top w:val="single" w:sz="4" w:space="0" w:color="000000"/>
              <w:left w:val="single" w:sz="4" w:space="0" w:color="000000"/>
              <w:bottom w:val="nil" w:sz="6" w:space="0" w:color="auto"/>
              <w:right w:val="single" w:sz="4" w:space="0" w:color="000000"/>
            </w:tcBorders>
          </w:tcPr>
          <w:p>
            <w:pPr/>
          </w:p>
        </w:tc>
        <w:tc>
          <w:tcPr>
            <w:tcW w:w="991" w:type="dxa"/>
            <w:gridSpan w:val="2"/>
            <w:tcBorders>
              <w:top w:val="single" w:sz="4" w:space="0" w:color="000000"/>
              <w:left w:val="single" w:sz="4" w:space="0" w:color="000000"/>
              <w:bottom w:val="nil" w:sz="6" w:space="0" w:color="auto"/>
              <w:right w:val="single" w:sz="4" w:space="0" w:color="000000"/>
            </w:tcBorders>
          </w:tcPr>
          <w:p>
            <w:pPr/>
          </w:p>
        </w:tc>
      </w:tr>
      <w:tr>
        <w:trPr>
          <w:trHeight w:val="2101"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sz w:val="18"/>
              </w:rPr>
              <w:t>2015</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重</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2"/>
                <w:sz w:val="18"/>
                <w:szCs w:val="18"/>
              </w:rPr>
              <w:t> </w:t>
            </w:r>
            <w:r>
              <w:rPr>
                <w:rFonts w:ascii="宋体" w:hAnsi="宋体" w:cs="宋体" w:eastAsia="宋体" w:hint="default"/>
                <w:sz w:val="18"/>
                <w:szCs w:val="18"/>
              </w:rPr>
              <w:t>时</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2"/>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p>
        </w:tc>
        <w:tc>
          <w:tcPr>
            <w:tcW w:w="763" w:type="dxa"/>
            <w:tcBorders>
              <w:top w:val="nil" w:sz="6" w:space="0" w:color="auto"/>
              <w:left w:val="single" w:sz="4" w:space="0" w:color="000000"/>
              <w:bottom w:val="nil" w:sz="6" w:space="0" w:color="auto"/>
              <w:right w:val="nil" w:sz="6" w:space="0" w:color="auto"/>
            </w:tcBorders>
          </w:tcPr>
          <w:p>
            <w:pPr>
              <w:pStyle w:val="TableParagraph"/>
              <w:spacing w:line="237" w:lineRule="auto" w:before="90"/>
              <w:ind w:left="103" w:right="113"/>
              <w:jc w:val="both"/>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2"/>
                <w:sz w:val="18"/>
                <w:szCs w:val="18"/>
              </w:rPr>
              <w:t> </w:t>
            </w:r>
            <w:r>
              <w:rPr>
                <w:rFonts w:ascii="宋体" w:hAnsi="宋体" w:cs="宋体" w:eastAsia="宋体" w:hint="default"/>
                <w:sz w:val="18"/>
                <w:szCs w:val="18"/>
              </w:rPr>
              <w:t>实</w:t>
            </w:r>
            <w:r>
              <w:rPr>
                <w:rFonts w:ascii="宋体" w:hAnsi="宋体" w:cs="宋体" w:eastAsia="宋体" w:hint="default"/>
                <w:sz w:val="18"/>
                <w:szCs w:val="18"/>
              </w:rPr>
              <w:t> 网络、 孝</w:t>
            </w:r>
            <w:r>
              <w:rPr>
                <w:rFonts w:ascii="宋体" w:hAnsi="宋体" w:cs="宋体" w:eastAsia="宋体" w:hint="default"/>
                <w:spacing w:val="42"/>
                <w:sz w:val="18"/>
                <w:szCs w:val="18"/>
              </w:rPr>
              <w:t> </w:t>
            </w:r>
            <w:r>
              <w:rPr>
                <w:rFonts w:ascii="宋体" w:hAnsi="宋体" w:cs="宋体" w:eastAsia="宋体" w:hint="default"/>
                <w:sz w:val="18"/>
                <w:szCs w:val="18"/>
              </w:rPr>
              <w:t>昌</w:t>
            </w:r>
            <w:r>
              <w:rPr>
                <w:rFonts w:ascii="宋体" w:hAnsi="宋体" w:cs="宋体" w:eastAsia="宋体" w:hint="default"/>
                <w:sz w:val="18"/>
                <w:szCs w:val="18"/>
              </w:rPr>
              <w:t> 恒隆、 长</w:t>
            </w:r>
            <w:r>
              <w:rPr>
                <w:rFonts w:ascii="宋体" w:hAnsi="宋体" w:cs="宋体" w:eastAsia="宋体" w:hint="default"/>
                <w:spacing w:val="42"/>
                <w:sz w:val="18"/>
                <w:szCs w:val="18"/>
              </w:rPr>
              <w:t> </w:t>
            </w:r>
            <w:r>
              <w:rPr>
                <w:rFonts w:ascii="宋体" w:hAnsi="宋体" w:cs="宋体" w:eastAsia="宋体" w:hint="default"/>
                <w:sz w:val="18"/>
                <w:szCs w:val="18"/>
              </w:rPr>
              <w:t>实</w:t>
            </w:r>
            <w:r>
              <w:rPr>
                <w:rFonts w:ascii="宋体" w:hAnsi="宋体" w:cs="宋体" w:eastAsia="宋体" w:hint="default"/>
                <w:sz w:val="18"/>
                <w:szCs w:val="18"/>
              </w:rPr>
              <w:t> 锦轩、 张文、 李强</w:t>
            </w:r>
          </w:p>
        </w:tc>
        <w:tc>
          <w:tcPr>
            <w:tcW w:w="65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限期</w:t>
            </w:r>
          </w:p>
        </w:tc>
        <w:tc>
          <w:tcPr>
            <w:tcW w:w="5107"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注销承诺</w:t>
            </w:r>
            <w:r>
              <w:rPr>
                <w:rFonts w:ascii="宋体" w:hAnsi="宋体" w:cs="宋体" w:eastAsia="宋体" w:hint="default"/>
                <w:spacing w:val="-15"/>
                <w:sz w:val="18"/>
                <w:szCs w:val="18"/>
              </w:rPr>
              <w:t>：</w:t>
            </w:r>
            <w:r>
              <w:rPr>
                <w:rFonts w:ascii="宋体" w:hAnsi="宋体" w:cs="宋体" w:eastAsia="宋体" w:hint="default"/>
                <w:spacing w:val="1"/>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截至分立基准</w:t>
            </w:r>
            <w:r>
              <w:rPr>
                <w:rFonts w:ascii="宋体" w:hAnsi="宋体" w:cs="宋体" w:eastAsia="宋体" w:hint="default"/>
                <w:spacing w:val="-17"/>
                <w:sz w:val="18"/>
                <w:szCs w:val="18"/>
              </w:rPr>
              <w:t>日</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014 年</w:t>
            </w:r>
            <w:r>
              <w:rPr>
                <w:rFonts w:ascii="宋体" w:hAnsi="宋体" w:cs="宋体" w:eastAsia="宋体" w:hint="default"/>
                <w:spacing w:val="-2"/>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 月</w:t>
            </w:r>
            <w:r>
              <w:rPr>
                <w:rFonts w:ascii="宋体" w:hAnsi="宋体" w:cs="宋体" w:eastAsia="宋体" w:hint="default"/>
                <w:spacing w:val="1"/>
                <w:sz w:val="18"/>
                <w:szCs w:val="18"/>
              </w:rPr>
              <w:t> </w:t>
            </w:r>
            <w:r>
              <w:rPr>
                <w:rFonts w:ascii="宋体" w:hAnsi="宋体" w:cs="宋体" w:eastAsia="宋体" w:hint="default"/>
                <w:sz w:val="18"/>
                <w:szCs w:val="18"/>
              </w:rPr>
              <w:t>31</w:t>
            </w:r>
            <w:r>
              <w:rPr>
                <w:rFonts w:ascii="宋体" w:hAnsi="宋体" w:cs="宋体" w:eastAsia="宋体"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pacing w:val="-3"/>
                <w:sz w:val="18"/>
                <w:szCs w:val="18"/>
              </w:rPr>
              <w:t>长</w:t>
            </w:r>
            <w:r>
              <w:rPr>
                <w:rFonts w:ascii="宋体" w:hAnsi="宋体" w:cs="宋体" w:eastAsia="宋体" w:hint="default"/>
                <w:sz w:val="18"/>
                <w:szCs w:val="18"/>
              </w:rPr>
              <w:t>实</w:t>
            </w:r>
          </w:p>
          <w:p>
            <w:pPr>
              <w:pStyle w:val="TableParagraph"/>
              <w:spacing w:line="237" w:lineRule="auto" w:before="2"/>
              <w:ind w:left="103" w:right="98"/>
              <w:jc w:val="both"/>
              <w:rPr>
                <w:rFonts w:ascii="宋体" w:hAnsi="宋体" w:cs="宋体" w:eastAsia="宋体" w:hint="default"/>
                <w:sz w:val="18"/>
                <w:szCs w:val="18"/>
              </w:rPr>
            </w:pPr>
            <w:r>
              <w:rPr>
                <w:rFonts w:ascii="宋体" w:hAnsi="宋体" w:cs="宋体" w:eastAsia="宋体" w:hint="default"/>
                <w:sz w:val="18"/>
                <w:szCs w:val="18"/>
              </w:rPr>
              <w:t>建设将不再承接新的通信网络工程业务；避免从事任何除现有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存续业务之外的与茂业通信和长实通信及其控制的其他公司、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企业或者其他经济组织相同或相似且构成或可能构成竞争关系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的业务，亦不从事任何可能损害茂业通信和长实通信及其控制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的其他公司、企业或者其他经济组织利益的活动。2、在现有存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续的通信网络工程业务执行完毕且收款完成后，长实建设将予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以注销或转让。若违反上述承诺，承诺方将以连带责任的方式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承担因此而给茂业通信和长实通信及其控制的其他公司、企业</w:t>
            </w:r>
          </w:p>
        </w:tc>
        <w:tc>
          <w:tcPr>
            <w:tcW w:w="59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5" w:lineRule="exact"/>
              <w:ind w:left="103" w:right="0"/>
              <w:jc w:val="left"/>
              <w:rPr>
                <w:rFonts w:ascii="宋体" w:hAnsi="宋体" w:cs="宋体" w:eastAsia="宋体" w:hint="default"/>
                <w:sz w:val="18"/>
                <w:szCs w:val="18"/>
              </w:rPr>
            </w:pPr>
            <w:r>
              <w:rPr>
                <w:rFonts w:ascii="宋体"/>
                <w:sz w:val="18"/>
              </w:rPr>
              <w:t>2015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5</w:t>
            </w:r>
          </w:p>
          <w:p>
            <w:pPr>
              <w:pStyle w:val="TableParagraph"/>
              <w:spacing w:line="232" w:lineRule="exact" w:before="23"/>
              <w:ind w:left="103" w:right="6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z w:val="18"/>
                <w:szCs w:val="18"/>
              </w:rPr>
              <w:t> 日</w:t>
            </w:r>
          </w:p>
        </w:tc>
        <w:tc>
          <w:tcPr>
            <w:tcW w:w="82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135" w:right="100"/>
              <w:jc w:val="both"/>
              <w:rPr>
                <w:rFonts w:ascii="宋体" w:hAnsi="宋体" w:cs="宋体" w:eastAsia="宋体" w:hint="default"/>
                <w:sz w:val="18"/>
                <w:szCs w:val="18"/>
              </w:rPr>
            </w:pPr>
            <w:r>
              <w:rPr>
                <w:rFonts w:ascii="宋体" w:hAnsi="宋体" w:cs="宋体" w:eastAsia="宋体" w:hint="default"/>
                <w:spacing w:val="10"/>
                <w:sz w:val="18"/>
                <w:szCs w:val="18"/>
              </w:rPr>
              <w:t>自承诺</w:t>
            </w:r>
            <w:r>
              <w:rPr>
                <w:rFonts w:ascii="宋体" w:hAnsi="宋体" w:cs="宋体" w:eastAsia="宋体" w:hint="default"/>
                <w:sz w:val="18"/>
                <w:szCs w:val="18"/>
              </w:rPr>
              <w:t> </w:t>
            </w:r>
            <w:r>
              <w:rPr>
                <w:rFonts w:ascii="宋体" w:hAnsi="宋体" w:cs="宋体" w:eastAsia="宋体" w:hint="default"/>
                <w:spacing w:val="10"/>
                <w:sz w:val="18"/>
                <w:szCs w:val="18"/>
              </w:rPr>
              <w:t>之日起</w:t>
            </w:r>
            <w:r>
              <w:rPr>
                <w:rFonts w:ascii="宋体" w:hAnsi="宋体" w:cs="宋体" w:eastAsia="宋体" w:hint="default"/>
                <w:sz w:val="18"/>
                <w:szCs w:val="18"/>
              </w:rPr>
              <w:t> </w:t>
            </w:r>
            <w:r>
              <w:rPr>
                <w:rFonts w:ascii="宋体" w:hAnsi="宋体" w:cs="宋体" w:eastAsia="宋体" w:hint="default"/>
                <w:spacing w:val="10"/>
                <w:sz w:val="18"/>
                <w:szCs w:val="18"/>
              </w:rPr>
              <w:t>至长实</w:t>
            </w:r>
            <w:r>
              <w:rPr>
                <w:rFonts w:ascii="宋体" w:hAnsi="宋体" w:cs="宋体" w:eastAsia="宋体" w:hint="default"/>
                <w:sz w:val="18"/>
                <w:szCs w:val="18"/>
              </w:rPr>
              <w:t> </w:t>
            </w:r>
            <w:r>
              <w:rPr>
                <w:rFonts w:ascii="宋体" w:hAnsi="宋体" w:cs="宋体" w:eastAsia="宋体" w:hint="default"/>
                <w:spacing w:val="10"/>
                <w:sz w:val="18"/>
                <w:szCs w:val="18"/>
              </w:rPr>
              <w:t>建设完</w:t>
            </w:r>
            <w:r>
              <w:rPr>
                <w:rFonts w:ascii="宋体" w:hAnsi="宋体" w:cs="宋体" w:eastAsia="宋体" w:hint="default"/>
                <w:sz w:val="18"/>
                <w:szCs w:val="18"/>
              </w:rPr>
              <w:t> </w:t>
            </w:r>
            <w:r>
              <w:rPr>
                <w:rFonts w:ascii="宋体" w:hAnsi="宋体" w:cs="宋体" w:eastAsia="宋体" w:hint="default"/>
                <w:spacing w:val="10"/>
                <w:sz w:val="18"/>
                <w:szCs w:val="18"/>
              </w:rPr>
              <w:t>成转让</w:t>
            </w:r>
            <w:r>
              <w:rPr>
                <w:rFonts w:ascii="宋体" w:hAnsi="宋体" w:cs="宋体" w:eastAsia="宋体" w:hint="default"/>
                <w:sz w:val="18"/>
                <w:szCs w:val="18"/>
              </w:rPr>
              <w:t> </w:t>
            </w:r>
            <w:r>
              <w:rPr>
                <w:rFonts w:ascii="宋体" w:hAnsi="宋体" w:cs="宋体" w:eastAsia="宋体" w:hint="default"/>
                <w:spacing w:val="10"/>
                <w:sz w:val="18"/>
                <w:szCs w:val="18"/>
              </w:rPr>
              <w:t>或注销</w:t>
            </w:r>
            <w:r>
              <w:rPr>
                <w:rFonts w:ascii="宋体" w:hAnsi="宋体" w:cs="宋体" w:eastAsia="宋体" w:hint="default"/>
                <w:sz w:val="18"/>
                <w:szCs w:val="18"/>
              </w:rPr>
              <w:t> 之日止</w:t>
            </w:r>
          </w:p>
        </w:tc>
        <w:tc>
          <w:tcPr>
            <w:tcW w:w="991"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正 常</w:t>
            </w:r>
            <w:r>
              <w:rPr>
                <w:rFonts w:ascii="宋体" w:hAnsi="宋体" w:cs="宋体" w:eastAsia="宋体" w:hint="default"/>
                <w:spacing w:val="54"/>
                <w:sz w:val="18"/>
                <w:szCs w:val="18"/>
              </w:rPr>
              <w:t> </w:t>
            </w:r>
            <w:r>
              <w:rPr>
                <w:rFonts w:ascii="宋体" w:hAnsi="宋体" w:cs="宋体" w:eastAsia="宋体" w:hint="default"/>
                <w:sz w:val="18"/>
                <w:szCs w:val="18"/>
              </w:rPr>
              <w:t>履</w:t>
            </w:r>
          </w:p>
          <w:p>
            <w:pPr>
              <w:pStyle w:val="TableParagraph"/>
              <w:spacing w:line="237" w:lineRule="auto" w:before="2"/>
              <w:ind w:left="103" w:right="98"/>
              <w:jc w:val="both"/>
              <w:rPr>
                <w:rFonts w:ascii="宋体" w:hAnsi="宋体" w:cs="宋体" w:eastAsia="宋体" w:hint="default"/>
                <w:sz w:val="18"/>
                <w:szCs w:val="18"/>
              </w:rPr>
            </w:pPr>
            <w:r>
              <w:rPr>
                <w:rFonts w:ascii="宋体" w:hAnsi="宋体" w:cs="宋体" w:eastAsia="宋体" w:hint="default"/>
                <w:spacing w:val="9"/>
                <w:sz w:val="18"/>
                <w:szCs w:val="18"/>
              </w:rPr>
              <w:t>行，</w:t>
            </w:r>
            <w:r>
              <w:rPr>
                <w:rFonts w:ascii="宋体" w:hAnsi="宋体" w:cs="宋体" w:eastAsia="宋体" w:hint="default"/>
                <w:spacing w:val="-70"/>
                <w:sz w:val="18"/>
                <w:szCs w:val="18"/>
              </w:rPr>
              <w:t> </w:t>
            </w:r>
            <w:r>
              <w:rPr>
                <w:rFonts w:ascii="宋体" w:hAnsi="宋体" w:cs="宋体" w:eastAsia="宋体" w:hint="default"/>
                <w:spacing w:val="9"/>
                <w:sz w:val="18"/>
                <w:szCs w:val="18"/>
              </w:rPr>
              <w:t>有关</w:t>
            </w:r>
            <w:r>
              <w:rPr>
                <w:rFonts w:ascii="宋体" w:hAnsi="宋体" w:cs="宋体" w:eastAsia="宋体" w:hint="default"/>
                <w:sz w:val="18"/>
                <w:szCs w:val="18"/>
              </w:rPr>
              <w:t> </w:t>
            </w:r>
            <w:r>
              <w:rPr>
                <w:rFonts w:ascii="宋体" w:hAnsi="宋体" w:cs="宋体" w:eastAsia="宋体" w:hint="default"/>
                <w:spacing w:val="14"/>
                <w:sz w:val="18"/>
                <w:szCs w:val="18"/>
              </w:rPr>
              <w:t>情况见本</w:t>
            </w:r>
            <w:r>
              <w:rPr>
                <w:rFonts w:ascii="宋体" w:hAnsi="宋体" w:cs="宋体" w:eastAsia="宋体" w:hint="default"/>
                <w:sz w:val="18"/>
                <w:szCs w:val="18"/>
              </w:rPr>
              <w:t> </w:t>
            </w:r>
            <w:r>
              <w:rPr>
                <w:rFonts w:ascii="宋体" w:hAnsi="宋体" w:cs="宋体" w:eastAsia="宋体" w:hint="default"/>
                <w:spacing w:val="14"/>
                <w:sz w:val="18"/>
                <w:szCs w:val="18"/>
              </w:rPr>
              <w:t>年报本章</w:t>
            </w:r>
            <w:r>
              <w:rPr>
                <w:rFonts w:ascii="宋体" w:hAnsi="宋体" w:cs="宋体" w:eastAsia="宋体" w:hint="default"/>
                <w:sz w:val="18"/>
                <w:szCs w:val="18"/>
              </w:rPr>
              <w:t> 第 七</w:t>
            </w:r>
            <w:r>
              <w:rPr>
                <w:rFonts w:ascii="宋体" w:hAnsi="宋体" w:cs="宋体" w:eastAsia="宋体" w:hint="default"/>
                <w:spacing w:val="54"/>
                <w:sz w:val="18"/>
                <w:szCs w:val="18"/>
              </w:rPr>
              <w:t> </w:t>
            </w:r>
            <w:r>
              <w:rPr>
                <w:rFonts w:ascii="宋体" w:hAnsi="宋体" w:cs="宋体" w:eastAsia="宋体" w:hint="default"/>
                <w:sz w:val="18"/>
                <w:szCs w:val="18"/>
              </w:rPr>
              <w:t>节</w:t>
            </w:r>
            <w:r>
              <w:rPr>
                <w:rFonts w:ascii="宋体" w:hAnsi="宋体" w:cs="宋体" w:eastAsia="宋体" w:hint="default"/>
                <w:sz w:val="18"/>
                <w:szCs w:val="18"/>
              </w:rPr>
              <w:t> “</w:t>
            </w:r>
            <w:r>
              <w:rPr>
                <w:rFonts w:ascii="宋体" w:hAnsi="宋体" w:cs="宋体" w:eastAsia="宋体" w:hint="default"/>
                <w:spacing w:val="-71"/>
                <w:sz w:val="18"/>
                <w:szCs w:val="18"/>
              </w:rPr>
              <w:t> </w:t>
            </w:r>
            <w:r>
              <w:rPr>
                <w:rFonts w:ascii="宋体" w:hAnsi="宋体" w:cs="宋体" w:eastAsia="宋体" w:hint="default"/>
                <w:spacing w:val="9"/>
                <w:sz w:val="18"/>
                <w:szCs w:val="18"/>
              </w:rPr>
              <w:t>二、</w:t>
            </w:r>
            <w:r>
              <w:rPr>
                <w:rFonts w:ascii="宋体" w:hAnsi="宋体" w:cs="宋体" w:eastAsia="宋体" w:hint="default"/>
                <w:spacing w:val="-71"/>
                <w:sz w:val="18"/>
                <w:szCs w:val="18"/>
              </w:rPr>
              <w:t> </w:t>
            </w:r>
            <w:r>
              <w:rPr>
                <w:rFonts w:ascii="宋体" w:hAnsi="宋体" w:cs="宋体" w:eastAsia="宋体" w:hint="default"/>
                <w:sz w:val="18"/>
                <w:szCs w:val="18"/>
              </w:rPr>
              <w:t>公</w:t>
            </w:r>
            <w:r>
              <w:rPr>
                <w:rFonts w:ascii="宋体" w:hAnsi="宋体" w:cs="宋体" w:eastAsia="宋体" w:hint="default"/>
                <w:sz w:val="18"/>
                <w:szCs w:val="18"/>
              </w:rPr>
              <w:t> </w:t>
            </w:r>
            <w:r>
              <w:rPr>
                <w:rFonts w:ascii="宋体" w:hAnsi="宋体" w:cs="宋体" w:eastAsia="宋体" w:hint="default"/>
                <w:spacing w:val="14"/>
                <w:sz w:val="18"/>
                <w:szCs w:val="18"/>
              </w:rPr>
              <w:t>司子公司</w:t>
            </w:r>
            <w:r>
              <w:rPr>
                <w:rFonts w:ascii="宋体" w:hAnsi="宋体" w:cs="宋体" w:eastAsia="宋体" w:hint="default"/>
                <w:sz w:val="18"/>
                <w:szCs w:val="18"/>
              </w:rPr>
              <w:t> 重 大</w:t>
            </w:r>
            <w:r>
              <w:rPr>
                <w:rFonts w:ascii="宋体" w:hAnsi="宋体" w:cs="宋体" w:eastAsia="宋体" w:hint="default"/>
                <w:spacing w:val="54"/>
                <w:sz w:val="18"/>
                <w:szCs w:val="18"/>
              </w:rPr>
              <w:t> </w:t>
            </w:r>
            <w:r>
              <w:rPr>
                <w:rFonts w:ascii="宋体" w:hAnsi="宋体" w:cs="宋体" w:eastAsia="宋体" w:hint="default"/>
                <w:sz w:val="18"/>
                <w:szCs w:val="18"/>
              </w:rPr>
              <w:t>事</w:t>
            </w:r>
            <w:r>
              <w:rPr>
                <w:rFonts w:ascii="宋体" w:hAnsi="宋体" w:cs="宋体" w:eastAsia="宋体" w:hint="default"/>
                <w:sz w:val="18"/>
                <w:szCs w:val="18"/>
              </w:rPr>
              <w:t> 项”内容</w:t>
            </w:r>
          </w:p>
        </w:tc>
      </w:tr>
      <w:tr>
        <w:trPr>
          <w:trHeight w:val="379" w:hRule="exact"/>
        </w:trPr>
        <w:tc>
          <w:tcPr>
            <w:tcW w:w="708"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c>
          <w:tcPr>
            <w:tcW w:w="650" w:type="dxa"/>
            <w:tcBorders>
              <w:top w:val="nil" w:sz="6" w:space="0" w:color="auto"/>
              <w:left w:val="nil" w:sz="6" w:space="0" w:color="auto"/>
              <w:bottom w:val="single" w:sz="4" w:space="0" w:color="000000"/>
              <w:right w:val="single" w:sz="4" w:space="0" w:color="000000"/>
            </w:tcBorders>
          </w:tcPr>
          <w:p>
            <w:pPr/>
          </w:p>
        </w:tc>
        <w:tc>
          <w:tcPr>
            <w:tcW w:w="5107" w:type="dxa"/>
            <w:gridSpan w:val="3"/>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或者其他经济组织造成的一切损失。</w:t>
            </w:r>
          </w:p>
        </w:tc>
        <w:tc>
          <w:tcPr>
            <w:tcW w:w="596" w:type="dxa"/>
            <w:gridSpan w:val="2"/>
            <w:tcBorders>
              <w:top w:val="nil" w:sz="6" w:space="0" w:color="auto"/>
              <w:left w:val="single" w:sz="4" w:space="0" w:color="000000"/>
              <w:bottom w:val="single" w:sz="4" w:space="0" w:color="000000"/>
              <w:right w:val="single" w:sz="4" w:space="0" w:color="000000"/>
            </w:tcBorders>
          </w:tcPr>
          <w:p>
            <w:pPr/>
          </w:p>
        </w:tc>
        <w:tc>
          <w:tcPr>
            <w:tcW w:w="822" w:type="dxa"/>
            <w:gridSpan w:val="2"/>
            <w:tcBorders>
              <w:top w:val="nil" w:sz="6" w:space="0" w:color="auto"/>
              <w:left w:val="single" w:sz="4" w:space="0" w:color="000000"/>
              <w:bottom w:val="single" w:sz="4" w:space="0" w:color="000000"/>
              <w:right w:val="single" w:sz="4" w:space="0" w:color="000000"/>
            </w:tcBorders>
          </w:tcPr>
          <w:p>
            <w:pPr/>
          </w:p>
        </w:tc>
        <w:tc>
          <w:tcPr>
            <w:tcW w:w="991" w:type="dxa"/>
            <w:gridSpan w:val="2"/>
            <w:tcBorders>
              <w:top w:val="nil" w:sz="6" w:space="0" w:color="auto"/>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4"/>
          <w:szCs w:val="24"/>
        </w:rPr>
      </w:pPr>
    </w:p>
    <w:p>
      <w:pPr>
        <w:pStyle w:val="BodyText"/>
        <w:spacing w:line="273" w:lineRule="auto" w:before="36"/>
        <w:ind w:left="393" w:right="342" w:firstLine="420"/>
        <w:jc w:val="left"/>
      </w:pPr>
      <w:r>
        <w:rPr/>
        <w:t>(三)</w:t>
      </w:r>
      <w:r>
        <w:rPr>
          <w:spacing w:val="71"/>
        </w:rPr>
        <w:t> </w:t>
      </w:r>
      <w:r>
        <w:rPr/>
        <w:t>公司报告期不存在收购人以及公司等相关承诺方在报告期内履行完毕及截至报告期末尚</w:t>
      </w:r>
      <w:r>
        <w:rPr>
          <w:w w:val="100"/>
        </w:rPr>
        <w:t> </w:t>
      </w:r>
      <w:r>
        <w:rPr/>
        <w:t>未履行完毕的承诺事项。</w:t>
      </w:r>
    </w:p>
    <w:p>
      <w:pPr>
        <w:pStyle w:val="BodyText"/>
        <w:spacing w:line="240" w:lineRule="auto" w:before="164"/>
        <w:ind w:left="813" w:right="1174"/>
        <w:jc w:val="left"/>
      </w:pPr>
      <w:r>
        <w:rPr/>
        <w:t>二、公司资产或项目盈利预测情况</w:t>
      </w:r>
    </w:p>
    <w:p>
      <w:pPr>
        <w:pStyle w:val="BodyText"/>
        <w:spacing w:line="240" w:lineRule="auto" w:before="99"/>
        <w:ind w:left="813" w:right="342"/>
        <w:jc w:val="left"/>
      </w:pPr>
      <w:r>
        <w:rPr/>
        <w:t>2015</w:t>
      </w:r>
      <w:r>
        <w:rPr>
          <w:spacing w:val="13"/>
        </w:rPr>
        <w:t> </w:t>
      </w:r>
      <w:r>
        <w:rPr>
          <w:spacing w:val="-2"/>
        </w:rPr>
        <w:t>年重组购买的资产长实通信盈利预测实现情况(实际业绩数为扣除非经常性损益后的)</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834"/>
        <w:gridCol w:w="6804"/>
      </w:tblGrid>
      <w:tr>
        <w:trPr>
          <w:trHeight w:val="32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盈利预测资产名称</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广东长实通信科技有限公司</w:t>
            </w:r>
          </w:p>
        </w:tc>
      </w:tr>
      <w:tr>
        <w:trPr>
          <w:trHeight w:val="29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32" w:lineRule="exact"/>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702"/>
        <w:gridCol w:w="1133"/>
        <w:gridCol w:w="569"/>
        <w:gridCol w:w="1699"/>
        <w:gridCol w:w="2693"/>
        <w:gridCol w:w="286"/>
        <w:gridCol w:w="1558"/>
      </w:tblGrid>
      <w:tr>
        <w:trPr>
          <w:trHeight w:val="29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68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9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当期预测业绩(万元)</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18"/>
                <w:szCs w:val="18"/>
              </w:rPr>
            </w:pPr>
            <w:r>
              <w:rPr>
                <w:rFonts w:ascii="宋体"/>
                <w:spacing w:val="-1"/>
                <w:sz w:val="18"/>
              </w:rPr>
              <w:t>12,960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18"/>
                <w:szCs w:val="18"/>
              </w:rPr>
            </w:pPr>
            <w:r>
              <w:rPr>
                <w:rFonts w:ascii="宋体" w:hAnsi="宋体" w:cs="宋体" w:eastAsia="宋体" w:hint="default"/>
                <w:sz w:val="18"/>
                <w:szCs w:val="18"/>
              </w:rPr>
              <w:t>当期实际业绩(万元)</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1" w:right="0"/>
              <w:jc w:val="left"/>
              <w:rPr>
                <w:rFonts w:ascii="宋体" w:hAnsi="宋体" w:cs="宋体" w:eastAsia="宋体" w:hint="default"/>
                <w:sz w:val="18"/>
                <w:szCs w:val="18"/>
              </w:rPr>
            </w:pPr>
            <w:r>
              <w:rPr>
                <w:rFonts w:ascii="宋体"/>
                <w:sz w:val="18"/>
              </w:rPr>
              <w:t>12,359.12</w:t>
            </w:r>
          </w:p>
        </w:tc>
      </w:tr>
      <w:tr>
        <w:trPr>
          <w:trHeight w:val="295"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截至本期末累计预测业绩(万元)</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18"/>
                <w:szCs w:val="18"/>
              </w:rPr>
            </w:pPr>
            <w:r>
              <w:rPr>
                <w:rFonts w:ascii="宋体"/>
                <w:spacing w:val="-1"/>
                <w:sz w:val="18"/>
              </w:rPr>
              <w:t>32,760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18"/>
                <w:szCs w:val="18"/>
              </w:rPr>
            </w:pPr>
            <w:r>
              <w:rPr>
                <w:rFonts w:ascii="宋体" w:hAnsi="宋体" w:cs="宋体" w:eastAsia="宋体" w:hint="default"/>
                <w:sz w:val="18"/>
                <w:szCs w:val="18"/>
              </w:rPr>
              <w:t>本期末累计实际业绩(万元)</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1" w:right="0"/>
              <w:jc w:val="left"/>
              <w:rPr>
                <w:rFonts w:ascii="宋体" w:hAnsi="宋体" w:cs="宋体" w:eastAsia="宋体" w:hint="default"/>
                <w:sz w:val="18"/>
                <w:szCs w:val="18"/>
              </w:rPr>
            </w:pPr>
            <w:r>
              <w:rPr>
                <w:rFonts w:ascii="宋体"/>
                <w:sz w:val="18"/>
              </w:rPr>
              <w:t>33,075.85</w:t>
            </w:r>
          </w:p>
        </w:tc>
      </w:tr>
      <w:tr>
        <w:trPr>
          <w:trHeight w:val="29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未达预测的原因</w:t>
            </w:r>
          </w:p>
        </w:tc>
        <w:tc>
          <w:tcPr>
            <w:tcW w:w="79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79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93"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p>
        </w:tc>
        <w:tc>
          <w:tcPr>
            <w:tcW w:w="4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15"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586" w:hRule="exact"/>
        </w:trPr>
        <w:tc>
          <w:tcPr>
            <w:tcW w:w="1702" w:type="dxa"/>
            <w:vMerge/>
            <w:tcBorders>
              <w:left w:val="single" w:sz="4" w:space="0" w:color="000000"/>
              <w:bottom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公告标题(编号)</w:t>
            </w:r>
          </w:p>
        </w:tc>
        <w:tc>
          <w:tcPr>
            <w:tcW w:w="4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茂业物流：公司重大资产购买暨关联交易报告书(草案)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96" w:right="0"/>
              <w:jc w:val="left"/>
              <w:rPr>
                <w:rFonts w:ascii="宋体" w:hAnsi="宋体" w:cs="宋体" w:eastAsia="宋体" w:hint="default"/>
                <w:sz w:val="21"/>
                <w:szCs w:val="21"/>
              </w:rPr>
            </w:pPr>
            <w:r>
              <w:rPr>
                <w:rFonts w:ascii="宋体"/>
                <w:sz w:val="21"/>
              </w:rPr>
              <w:t>2015-05-09</w:t>
            </w: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1、公司交易对手方在报告年度业绩承诺及履行情况</w:t>
      </w:r>
    </w:p>
    <w:p>
      <w:pPr>
        <w:pStyle w:val="BodyText"/>
        <w:spacing w:line="273" w:lineRule="auto" w:before="37"/>
        <w:ind w:left="393" w:right="342" w:firstLine="420"/>
        <w:jc w:val="left"/>
      </w:pPr>
      <w:r>
        <w:rPr/>
        <w:t>2015 </w:t>
      </w:r>
      <w:r>
        <w:rPr>
          <w:spacing w:val="-2"/>
        </w:rPr>
        <w:t>年重大资产购买即公司资产购买暨关联交易的交易对方长实网络、孝昌恒隆、长实锦轩、</w:t>
      </w:r>
      <w:r>
        <w:rPr>
          <w:w w:val="100"/>
        </w:rPr>
        <w:t> </w:t>
      </w:r>
      <w:r>
        <w:rPr>
          <w:spacing w:val="-3"/>
        </w:rPr>
        <w:t>张文、李强承诺：长实通信</w:t>
      </w:r>
      <w:r>
        <w:rPr>
          <w:spacing w:val="-51"/>
        </w:rPr>
        <w:t> </w:t>
      </w:r>
      <w:r>
        <w:rPr/>
        <w:t>2015</w:t>
      </w:r>
      <w:r>
        <w:rPr>
          <w:spacing w:val="-51"/>
        </w:rPr>
        <w:t> </w:t>
      </w:r>
      <w:r>
        <w:rPr/>
        <w:t>年度、2016</w:t>
      </w:r>
      <w:r>
        <w:rPr>
          <w:spacing w:val="-51"/>
        </w:rPr>
        <w:t> </w:t>
      </w:r>
      <w:r>
        <w:rPr/>
        <w:t>年度、2017</w:t>
      </w:r>
      <w:r>
        <w:rPr>
          <w:spacing w:val="-53"/>
        </w:rPr>
        <w:t> </w:t>
      </w:r>
      <w:r>
        <w:rPr/>
        <w:t>年度对应的经审计的扣除非经常性损益后</w:t>
      </w:r>
      <w:r>
        <w:rPr>
          <w:spacing w:val="-102"/>
        </w:rPr>
        <w:t> </w:t>
      </w:r>
      <w:r>
        <w:rPr>
          <w:spacing w:val="-102"/>
        </w:rPr>
      </w:r>
      <w:r>
        <w:rPr/>
        <w:t>的实际净利润应分别不低于</w:t>
      </w:r>
      <w:r>
        <w:rPr>
          <w:spacing w:val="-31"/>
        </w:rPr>
        <w:t> </w:t>
      </w:r>
      <w:r>
        <w:rPr/>
        <w:t>9,000</w:t>
      </w:r>
      <w:r>
        <w:rPr>
          <w:spacing w:val="-33"/>
        </w:rPr>
        <w:t> </w:t>
      </w:r>
      <w:r>
        <w:rPr/>
        <w:t>万元、10,800</w:t>
      </w:r>
      <w:r>
        <w:rPr>
          <w:spacing w:val="-33"/>
        </w:rPr>
        <w:t> </w:t>
      </w:r>
      <w:r>
        <w:rPr/>
        <w:t>万元、12,960</w:t>
      </w:r>
      <w:r>
        <w:rPr>
          <w:spacing w:val="-33"/>
        </w:rPr>
        <w:t> </w:t>
      </w:r>
      <w:r>
        <w:rPr/>
        <w:t>万元。据业绩承诺期间每一会计年</w:t>
      </w:r>
      <w:r>
        <w:rPr>
          <w:w w:val="100"/>
        </w:rPr>
        <w:t> </w:t>
      </w:r>
      <w:r>
        <w:rPr>
          <w:spacing w:val="-2"/>
        </w:rPr>
        <w:t>度结束后出具的专项审核报告，如长实通信截至该年度期末累计的实际净利润数低于同期累计的承</w:t>
      </w:r>
      <w:r>
        <w:rPr>
          <w:spacing w:val="-42"/>
        </w:rPr>
        <w:t> </w:t>
      </w:r>
      <w:r>
        <w:rPr>
          <w:spacing w:val="-42"/>
        </w:rPr>
      </w:r>
      <w:r>
        <w:rPr/>
        <w:t>诺净利润数，则交易对方应按照约定的方式对本公司进行现金补偿。</w:t>
      </w:r>
    </w:p>
    <w:p>
      <w:pPr>
        <w:pStyle w:val="BodyText"/>
        <w:spacing w:line="273" w:lineRule="auto"/>
        <w:ind w:left="393" w:right="450" w:firstLine="420"/>
        <w:jc w:val="both"/>
      </w:pPr>
      <w:r>
        <w:rPr/>
        <w:t>根据公司聘请的具有证券业务资格的会计师事务所中兴华出具的中兴华核字(2016)第</w:t>
      </w:r>
      <w:r>
        <w:rPr>
          <w:spacing w:val="72"/>
        </w:rPr>
        <w:t> </w:t>
      </w:r>
      <w:r>
        <w:rPr/>
        <w:t>BJ01—</w:t>
      </w:r>
      <w:r>
        <w:rPr>
          <w:w w:val="100"/>
        </w:rPr>
        <w:t> </w:t>
      </w:r>
      <w:r>
        <w:rPr/>
        <w:t>0003</w:t>
      </w:r>
      <w:r>
        <w:rPr>
          <w:spacing w:val="86"/>
        </w:rPr>
        <w:t> </w:t>
      </w:r>
      <w:r>
        <w:rPr/>
        <w:t>号《茂业通信网络股份有限公司重大资产购买之标的资产业绩承诺实现情况说明专项审核报</w:t>
      </w:r>
    </w:p>
    <w:p>
      <w:pPr>
        <w:pStyle w:val="BodyText"/>
        <w:spacing w:line="240" w:lineRule="auto"/>
        <w:ind w:left="393" w:right="342"/>
        <w:jc w:val="left"/>
      </w:pPr>
      <w:r>
        <w:rPr>
          <w:w w:val="100"/>
        </w:rPr>
        <w:t>告</w:t>
      </w:r>
      <w:r>
        <w:rPr>
          <w:spacing w:val="-106"/>
          <w:w w:val="100"/>
        </w:rPr>
        <w:t>》</w:t>
      </w:r>
      <w:r>
        <w:rPr>
          <w:spacing w:val="-70"/>
          <w:w w:val="100"/>
        </w:rPr>
        <w:t>，</w:t>
      </w:r>
      <w:r>
        <w:rPr>
          <w:w w:val="100"/>
        </w:rPr>
        <w:t>2</w:t>
      </w:r>
      <w:r>
        <w:rPr>
          <w:spacing w:val="-3"/>
          <w:w w:val="100"/>
        </w:rPr>
        <w:t>0</w:t>
      </w:r>
      <w:r>
        <w:rPr>
          <w:w w:val="100"/>
        </w:rPr>
        <w:t>15</w:t>
      </w:r>
      <w:r>
        <w:rPr>
          <w:spacing w:val="-53"/>
        </w:rPr>
        <w:t> </w:t>
      </w:r>
      <w:r>
        <w:rPr>
          <w:spacing w:val="-3"/>
          <w:w w:val="100"/>
        </w:rPr>
        <w:t>年</w:t>
      </w:r>
      <w:r>
        <w:rPr>
          <w:w w:val="100"/>
        </w:rPr>
        <w:t>长</w:t>
      </w:r>
      <w:r>
        <w:rPr>
          <w:spacing w:val="-3"/>
          <w:w w:val="100"/>
        </w:rPr>
        <w:t>实</w:t>
      </w:r>
      <w:r>
        <w:rPr>
          <w:w w:val="100"/>
        </w:rPr>
        <w:t>通</w:t>
      </w:r>
      <w:r>
        <w:rPr>
          <w:spacing w:val="-3"/>
          <w:w w:val="100"/>
        </w:rPr>
        <w:t>信</w:t>
      </w:r>
      <w:r>
        <w:rPr>
          <w:w w:val="100"/>
        </w:rPr>
        <w:t>扣</w:t>
      </w:r>
      <w:r>
        <w:rPr>
          <w:spacing w:val="-3"/>
          <w:w w:val="100"/>
        </w:rPr>
        <w:t>除</w:t>
      </w:r>
      <w:r>
        <w:rPr>
          <w:w w:val="100"/>
        </w:rPr>
        <w:t>非经</w:t>
      </w:r>
      <w:r>
        <w:rPr>
          <w:spacing w:val="-3"/>
          <w:w w:val="100"/>
        </w:rPr>
        <w:t>常</w:t>
      </w:r>
      <w:r>
        <w:rPr>
          <w:w w:val="100"/>
        </w:rPr>
        <w:t>性</w:t>
      </w:r>
      <w:r>
        <w:rPr>
          <w:spacing w:val="-3"/>
          <w:w w:val="100"/>
        </w:rPr>
        <w:t>损</w:t>
      </w:r>
      <w:r>
        <w:rPr>
          <w:w w:val="100"/>
        </w:rPr>
        <w:t>益</w:t>
      </w:r>
      <w:r>
        <w:rPr>
          <w:spacing w:val="-3"/>
          <w:w w:val="100"/>
        </w:rPr>
        <w:t>后</w:t>
      </w:r>
      <w:r>
        <w:rPr>
          <w:w w:val="100"/>
        </w:rPr>
        <w:t>的</w:t>
      </w:r>
      <w:r>
        <w:rPr>
          <w:spacing w:val="-3"/>
          <w:w w:val="100"/>
        </w:rPr>
        <w:t>实</w:t>
      </w:r>
      <w:r>
        <w:rPr>
          <w:w w:val="100"/>
        </w:rPr>
        <w:t>际</w:t>
      </w:r>
      <w:r>
        <w:rPr>
          <w:spacing w:val="-3"/>
          <w:w w:val="100"/>
        </w:rPr>
        <w:t>净</w:t>
      </w:r>
      <w:r>
        <w:rPr>
          <w:w w:val="100"/>
        </w:rPr>
        <w:t>利</w:t>
      </w:r>
      <w:r>
        <w:rPr>
          <w:spacing w:val="-3"/>
          <w:w w:val="100"/>
        </w:rPr>
        <w:t>润</w:t>
      </w:r>
      <w:r>
        <w:rPr>
          <w:w w:val="100"/>
        </w:rPr>
        <w:t>为</w:t>
      </w:r>
      <w:r>
        <w:rPr>
          <w:spacing w:val="-53"/>
        </w:rPr>
        <w:t> </w:t>
      </w:r>
      <w:r>
        <w:rPr>
          <w:w w:val="100"/>
        </w:rPr>
        <w:t>9,</w:t>
      </w:r>
      <w:r>
        <w:rPr>
          <w:spacing w:val="-3"/>
          <w:w w:val="100"/>
        </w:rPr>
        <w:t>6</w:t>
      </w:r>
      <w:r>
        <w:rPr>
          <w:w w:val="100"/>
        </w:rPr>
        <w:t>78.</w:t>
      </w:r>
      <w:r>
        <w:rPr>
          <w:spacing w:val="-3"/>
          <w:w w:val="100"/>
        </w:rPr>
        <w:t>4</w:t>
      </w:r>
      <w:r>
        <w:rPr>
          <w:w w:val="100"/>
        </w:rPr>
        <w:t>7</w:t>
      </w:r>
      <w:r>
        <w:rPr>
          <w:spacing w:val="-53"/>
        </w:rPr>
        <w:t> </w:t>
      </w:r>
      <w:r>
        <w:rPr>
          <w:spacing w:val="-3"/>
          <w:w w:val="100"/>
        </w:rPr>
        <w:t>万</w:t>
      </w:r>
      <w:r>
        <w:rPr>
          <w:w w:val="100"/>
        </w:rPr>
        <w:t>元</w:t>
      </w:r>
      <w:r>
        <w:rPr>
          <w:spacing w:val="-3"/>
          <w:w w:val="100"/>
        </w:rPr>
        <w:t>高于</w:t>
      </w:r>
      <w:r>
        <w:rPr>
          <w:w w:val="100"/>
        </w:rPr>
        <w:t>盈利</w:t>
      </w:r>
      <w:r>
        <w:rPr>
          <w:spacing w:val="-3"/>
          <w:w w:val="100"/>
        </w:rPr>
        <w:t>预测</w:t>
      </w:r>
      <w:r>
        <w:rPr>
          <w:w w:val="100"/>
        </w:rPr>
        <w:t>数</w:t>
      </w:r>
      <w:r>
        <w:rPr>
          <w:spacing w:val="-53"/>
        </w:rPr>
        <w:t> </w:t>
      </w:r>
      <w:r>
        <w:rPr>
          <w:w w:val="100"/>
        </w:rPr>
        <w:t>9,</w:t>
      </w:r>
      <w:r>
        <w:rPr>
          <w:spacing w:val="-3"/>
          <w:w w:val="100"/>
        </w:rPr>
        <w:t>0</w:t>
      </w:r>
      <w:r>
        <w:rPr>
          <w:w w:val="100"/>
        </w:rPr>
        <w:t>00</w:t>
      </w:r>
      <w:r>
        <w:rPr>
          <w:spacing w:val="-53"/>
        </w:rPr>
        <w:t> </w:t>
      </w:r>
      <w:r>
        <w:rPr>
          <w:w w:val="100"/>
        </w:rPr>
        <w:t>万</w:t>
      </w:r>
    </w:p>
    <w:p>
      <w:pPr>
        <w:pStyle w:val="BodyText"/>
        <w:spacing w:line="273" w:lineRule="auto" w:before="37"/>
        <w:ind w:left="393" w:right="342"/>
        <w:jc w:val="left"/>
      </w:pPr>
      <w:r>
        <w:rPr/>
        <w:t>元。根据公司聘请的具有证券业务资格的会计师事务所中兴华出具的中兴华核字(2017)第 010093</w:t>
      </w:r>
      <w:r>
        <w:rPr>
          <w:spacing w:val="-24"/>
        </w:rPr>
        <w:t> </w:t>
      </w:r>
      <w:r>
        <w:rPr>
          <w:spacing w:val="-24"/>
        </w:rPr>
      </w:r>
      <w:r>
        <w:rPr>
          <w:spacing w:val="-2"/>
          <w:w w:val="100"/>
        </w:rPr>
        <w:t>号《茂业通信网络股份有限公司重大资产购买之标的资产业绩承诺实现情况说明专项审核报告》，</w:t>
      </w:r>
      <w:r>
        <w:rPr>
          <w:spacing w:val="-94"/>
          <w:w w:val="100"/>
        </w:rPr>
        <w:t> </w:t>
      </w:r>
      <w:r>
        <w:rPr>
          <w:spacing w:val="-94"/>
          <w:w w:val="100"/>
        </w:rPr>
      </w:r>
      <w:r>
        <w:rPr/>
        <w:t>2016</w:t>
      </w:r>
      <w:r>
        <w:rPr>
          <w:spacing w:val="-67"/>
        </w:rPr>
        <w:t> </w:t>
      </w:r>
      <w:r>
        <w:rPr/>
        <w:t>年长实通信扣除非经常性损益后的实际净利润为</w:t>
      </w:r>
      <w:r>
        <w:rPr>
          <w:spacing w:val="-67"/>
        </w:rPr>
        <w:t> </w:t>
      </w:r>
      <w:r>
        <w:rPr/>
        <w:t>11,038.26</w:t>
      </w:r>
      <w:r>
        <w:rPr>
          <w:spacing w:val="-70"/>
        </w:rPr>
        <w:t> </w:t>
      </w:r>
      <w:r>
        <w:rPr/>
        <w:t>万元高于盈利预测数</w:t>
      </w:r>
      <w:r>
        <w:rPr>
          <w:spacing w:val="-67"/>
        </w:rPr>
        <w:t> </w:t>
      </w:r>
      <w:r>
        <w:rPr/>
        <w:t>10,800</w:t>
      </w:r>
      <w:r>
        <w:rPr>
          <w:spacing w:val="-69"/>
        </w:rPr>
        <w:t> </w:t>
      </w:r>
      <w:r>
        <w:rPr/>
        <w:t>万元。</w:t>
      </w:r>
      <w:r>
        <w:rPr>
          <w:w w:val="100"/>
        </w:rPr>
        <w:t> </w:t>
      </w:r>
      <w:r>
        <w:rPr>
          <w:spacing w:val="-2"/>
          <w:w w:val="100"/>
        </w:rPr>
        <w:t>根据公司聘请的具有证券业务资格的会计师事务所中兴华出具的中兴华核字(2018)第</w:t>
      </w:r>
      <w:r>
        <w:rPr>
          <w:spacing w:val="-55"/>
          <w:w w:val="100"/>
        </w:rPr>
        <w:t> </w:t>
      </w:r>
      <w:r>
        <w:rPr>
          <w:spacing w:val="-1"/>
          <w:w w:val="100"/>
        </w:rPr>
        <w:t>010076</w:t>
      </w:r>
      <w:r>
        <w:rPr>
          <w:spacing w:val="-57"/>
          <w:w w:val="100"/>
        </w:rPr>
        <w:t> </w:t>
      </w:r>
      <w:r>
        <w:rPr>
          <w:spacing w:val="-36"/>
          <w:w w:val="100"/>
        </w:rPr>
        <w:t>号《茂</w:t>
      </w:r>
      <w:r>
        <w:rPr>
          <w:spacing w:val="-88"/>
          <w:w w:val="100"/>
        </w:rPr>
        <w:t> </w:t>
      </w:r>
      <w:r>
        <w:rPr>
          <w:spacing w:val="-88"/>
          <w:w w:val="100"/>
        </w:rPr>
      </w:r>
      <w:r>
        <w:rPr>
          <w:spacing w:val="-4"/>
          <w:w w:val="100"/>
        </w:rPr>
        <w:t>业通信网络股份有限公司重大资产购买之标的资产业绩承诺实现情况说明专项审核报告》，2017</w:t>
      </w:r>
      <w:r>
        <w:rPr>
          <w:spacing w:val="-13"/>
          <w:w w:val="100"/>
        </w:rPr>
        <w:t> </w:t>
      </w:r>
      <w:r>
        <w:rPr>
          <w:w w:val="100"/>
        </w:rPr>
        <w:t>年</w:t>
      </w:r>
      <w:r>
        <w:rPr>
          <w:spacing w:val="-96"/>
          <w:w w:val="100"/>
        </w:rPr>
        <w:t> </w:t>
      </w:r>
      <w:r>
        <w:rPr>
          <w:spacing w:val="-96"/>
          <w:w w:val="100"/>
        </w:rPr>
      </w:r>
      <w:r>
        <w:rPr/>
        <w:t>长实通信扣除非经常性损益后的实际净利润为</w:t>
      </w:r>
      <w:r>
        <w:rPr>
          <w:spacing w:val="-33"/>
        </w:rPr>
        <w:t> </w:t>
      </w:r>
      <w:r>
        <w:rPr/>
        <w:t>12,359.12</w:t>
      </w:r>
      <w:r>
        <w:rPr>
          <w:spacing w:val="-34"/>
        </w:rPr>
        <w:t> </w:t>
      </w:r>
      <w:r>
        <w:rPr/>
        <w:t>万元低于盈利预测数</w:t>
      </w:r>
      <w:r>
        <w:rPr>
          <w:spacing w:val="-31"/>
        </w:rPr>
        <w:t> </w:t>
      </w:r>
      <w:r>
        <w:rPr/>
        <w:t>12,960</w:t>
      </w:r>
      <w:r>
        <w:rPr>
          <w:spacing w:val="-31"/>
        </w:rPr>
        <w:t> </w:t>
      </w:r>
      <w:r>
        <w:rPr/>
        <w:t>万元。虽然</w:t>
      </w:r>
      <w:r>
        <w:rPr>
          <w:w w:val="100"/>
        </w:rPr>
        <w:t> </w:t>
      </w:r>
      <w:r>
        <w:rPr/>
        <w:t>2017</w:t>
      </w:r>
      <w:r>
        <w:rPr>
          <w:spacing w:val="-51"/>
        </w:rPr>
        <w:t> </w:t>
      </w:r>
      <w:r>
        <w:rPr/>
        <w:t>年当期实际业绩较预测业绩少</w:t>
      </w:r>
      <w:r>
        <w:rPr>
          <w:spacing w:val="-49"/>
        </w:rPr>
        <w:t> </w:t>
      </w:r>
      <w:r>
        <w:rPr/>
        <w:t>600.88</w:t>
      </w:r>
      <w:r>
        <w:rPr>
          <w:spacing w:val="-49"/>
        </w:rPr>
        <w:t> </w:t>
      </w:r>
      <w:r>
        <w:rPr>
          <w:spacing w:val="-5"/>
        </w:rPr>
        <w:t>万元，但长实通信</w:t>
      </w:r>
      <w:r>
        <w:rPr>
          <w:spacing w:val="-49"/>
        </w:rPr>
        <w:t> </w:t>
      </w:r>
      <w:r>
        <w:rPr>
          <w:spacing w:val="-5"/>
        </w:rPr>
        <w:t>2015、2016、2017</w:t>
      </w:r>
      <w:r>
        <w:rPr>
          <w:spacing w:val="-49"/>
        </w:rPr>
        <w:t> </w:t>
      </w:r>
      <w:r>
        <w:rPr/>
        <w:t>连续三年的年度期</w:t>
      </w:r>
      <w:r>
        <w:rPr>
          <w:spacing w:val="-95"/>
        </w:rPr>
        <w:t> </w:t>
      </w:r>
      <w:r>
        <w:rPr>
          <w:spacing w:val="-95"/>
        </w:rPr>
      </w:r>
      <w:r>
        <w:rPr/>
        <w:t>末扣除非经常性损益后的累计净利润分别达到</w:t>
      </w:r>
      <w:r>
        <w:rPr>
          <w:spacing w:val="-54"/>
        </w:rPr>
        <w:t> </w:t>
      </w:r>
      <w:r>
        <w:rPr/>
        <w:t>9,678.47</w:t>
      </w:r>
      <w:r>
        <w:rPr>
          <w:spacing w:val="-56"/>
        </w:rPr>
        <w:t> </w:t>
      </w:r>
      <w:r>
        <w:rPr/>
        <w:t>万元、20,716.73</w:t>
      </w:r>
      <w:r>
        <w:rPr>
          <w:spacing w:val="-54"/>
        </w:rPr>
        <w:t> </w:t>
      </w:r>
      <w:r>
        <w:rPr/>
        <w:t>万元、33,075.85</w:t>
      </w:r>
      <w:r>
        <w:rPr>
          <w:spacing w:val="-56"/>
        </w:rPr>
        <w:t> </w:t>
      </w:r>
      <w:r>
        <w:rPr/>
        <w:t>万元，</w:t>
      </w:r>
      <w:r>
        <w:rPr>
          <w:w w:val="100"/>
        </w:rPr>
        <w:t> </w:t>
      </w:r>
      <w:r>
        <w:rPr/>
        <w:t>分别高于对应期末累计盈利预测承诺数</w:t>
      </w:r>
      <w:r>
        <w:rPr>
          <w:spacing w:val="-32"/>
        </w:rPr>
        <w:t> </w:t>
      </w:r>
      <w:r>
        <w:rPr/>
        <w:t>9,000.00</w:t>
      </w:r>
      <w:r>
        <w:rPr>
          <w:spacing w:val="-34"/>
        </w:rPr>
        <w:t> </w:t>
      </w:r>
      <w:r>
        <w:rPr/>
        <w:t>万元、19,800.00</w:t>
      </w:r>
      <w:r>
        <w:rPr>
          <w:spacing w:val="-32"/>
        </w:rPr>
        <w:t> </w:t>
      </w:r>
      <w:r>
        <w:rPr/>
        <w:t>万元、32,760</w:t>
      </w:r>
      <w:r>
        <w:rPr>
          <w:spacing w:val="-35"/>
        </w:rPr>
        <w:t> </w:t>
      </w:r>
      <w:r>
        <w:rPr/>
        <w:t>万元，没有触发</w:t>
      </w:r>
      <w:r>
        <w:rPr>
          <w:w w:val="100"/>
        </w:rPr>
        <w:t> </w:t>
      </w:r>
      <w:r>
        <w:rPr/>
        <w:t>约定的应履行承诺条款，长实网络、孝昌恒隆、长实锦轩、张文、李强不予以现金补偿。</w:t>
      </w:r>
    </w:p>
    <w:p>
      <w:pPr>
        <w:pStyle w:val="BodyText"/>
        <w:spacing w:line="273" w:lineRule="auto"/>
        <w:ind w:left="393" w:right="450" w:firstLine="420"/>
        <w:jc w:val="both"/>
      </w:pPr>
      <w:r>
        <w:rPr/>
        <w:t>上述中兴华出具的专项审核报告(含审计报告)分别于</w:t>
      </w:r>
      <w:r>
        <w:rPr>
          <w:spacing w:val="-50"/>
        </w:rPr>
        <w:t> </w:t>
      </w:r>
      <w:r>
        <w:rPr/>
        <w:t>2016</w:t>
      </w:r>
      <w:r>
        <w:rPr>
          <w:spacing w:val="-50"/>
        </w:rPr>
        <w:t> </w:t>
      </w:r>
      <w:r>
        <w:rPr/>
        <w:t>年</w:t>
      </w:r>
      <w:r>
        <w:rPr>
          <w:spacing w:val="-50"/>
        </w:rPr>
        <w:t> </w:t>
      </w:r>
      <w:r>
        <w:rPr/>
        <w:t>4</w:t>
      </w:r>
      <w:r>
        <w:rPr>
          <w:spacing w:val="-50"/>
        </w:rPr>
        <w:t> </w:t>
      </w:r>
      <w:r>
        <w:rPr/>
        <w:t>月</w:t>
      </w:r>
      <w:r>
        <w:rPr>
          <w:spacing w:val="-53"/>
        </w:rPr>
        <w:t> </w:t>
      </w:r>
      <w:r>
        <w:rPr/>
        <w:t>19</w:t>
      </w:r>
      <w:r>
        <w:rPr>
          <w:spacing w:val="-50"/>
        </w:rPr>
        <w:t> </w:t>
      </w:r>
      <w:r>
        <w:rPr/>
        <w:t>日、2017</w:t>
      </w:r>
      <w:r>
        <w:rPr>
          <w:spacing w:val="-50"/>
        </w:rPr>
        <w:t> </w:t>
      </w:r>
      <w:r>
        <w:rPr/>
        <w:t>年</w:t>
      </w:r>
      <w:r>
        <w:rPr>
          <w:spacing w:val="-50"/>
        </w:rPr>
        <w:t> </w:t>
      </w:r>
      <w:r>
        <w:rPr/>
        <w:t>4</w:t>
      </w:r>
      <w:r>
        <w:rPr>
          <w:spacing w:val="-50"/>
        </w:rPr>
        <w:t> </w:t>
      </w:r>
      <w:r>
        <w:rPr/>
        <w:t>月</w:t>
      </w:r>
      <w:r>
        <w:rPr>
          <w:spacing w:val="-50"/>
        </w:rPr>
        <w:t> </w:t>
      </w:r>
      <w:r>
        <w:rPr/>
        <w:t>11</w:t>
      </w:r>
      <w:r>
        <w:rPr>
          <w:spacing w:val="-50"/>
        </w:rPr>
        <w:t> </w:t>
      </w:r>
      <w:r>
        <w:rPr/>
        <w:t>日和</w:t>
      </w:r>
      <w:r>
        <w:rPr>
          <w:w w:val="100"/>
        </w:rPr>
        <w:t> </w:t>
      </w:r>
      <w:r>
        <w:rPr/>
        <w:t>本年报披露日同日刊载于巨潮资讯网。</w:t>
      </w:r>
    </w:p>
    <w:p>
      <w:pPr>
        <w:pStyle w:val="BodyText"/>
        <w:spacing w:line="240" w:lineRule="auto"/>
        <w:ind w:left="813" w:right="1174"/>
        <w:jc w:val="left"/>
      </w:pPr>
      <w:r>
        <w:rPr/>
        <w:t>2、报告期末长实通信减值测试结果</w:t>
      </w:r>
    </w:p>
    <w:p>
      <w:pPr>
        <w:pStyle w:val="BodyText"/>
        <w:spacing w:line="240" w:lineRule="auto" w:before="37"/>
        <w:ind w:left="813" w:right="342"/>
        <w:jc w:val="left"/>
      </w:pPr>
      <w:r>
        <w:rPr/>
        <w:t>2015</w:t>
      </w:r>
      <w:r>
        <w:rPr>
          <w:spacing w:val="27"/>
        </w:rPr>
        <w:t> </w:t>
      </w:r>
      <w:r>
        <w:rPr>
          <w:spacing w:val="-4"/>
        </w:rPr>
        <w:t>年重大资产购买时，公司与交易对方长实网络、孝昌恒隆、长实锦轩、张文、李强签署的</w:t>
      </w:r>
    </w:p>
    <w:p>
      <w:pPr>
        <w:pStyle w:val="BodyText"/>
        <w:spacing w:line="273" w:lineRule="auto" w:before="37"/>
        <w:ind w:left="393" w:right="450"/>
        <w:jc w:val="both"/>
      </w:pPr>
      <w:r>
        <w:rPr>
          <w:spacing w:val="-2"/>
        </w:rPr>
        <w:t>《盈利预测补偿协议》约定，在上述业绩承诺期间届满时，由公司聘请具有证券业务资格的会计师</w:t>
      </w:r>
      <w:r>
        <w:rPr>
          <w:spacing w:val="-50"/>
        </w:rPr>
        <w:t> </w:t>
      </w:r>
      <w:r>
        <w:rPr>
          <w:spacing w:val="-50"/>
        </w:rPr>
      </w:r>
      <w:r>
        <w:rPr>
          <w:spacing w:val="-2"/>
        </w:rPr>
        <w:t>事务所对长实通信进行减值测试，如长实通信期末减值额大于已补偿现金总额(期末累计为零)，交</w:t>
      </w:r>
      <w:r>
        <w:rPr>
          <w:spacing w:val="-41"/>
        </w:rPr>
        <w:t> </w:t>
      </w:r>
      <w:r>
        <w:rPr>
          <w:spacing w:val="-41"/>
        </w:rPr>
      </w:r>
      <w:r>
        <w:rPr/>
        <w:t>易对方应当向公司就长实通信减值部分另行以现金进行补偿。</w:t>
      </w:r>
    </w:p>
    <w:p>
      <w:pPr>
        <w:pStyle w:val="BodyText"/>
        <w:spacing w:line="273" w:lineRule="auto"/>
        <w:ind w:left="393" w:right="450" w:firstLine="420"/>
        <w:jc w:val="both"/>
      </w:pPr>
      <w:r>
        <w:rPr/>
        <w:t>报告期后公司聘请具有证券业务资格的评估机构中铭国际，对</w:t>
      </w:r>
      <w:r>
        <w:rPr>
          <w:spacing w:val="-44"/>
        </w:rPr>
        <w:t> </w:t>
      </w:r>
      <w:r>
        <w:rPr/>
        <w:t>2017</w:t>
      </w:r>
      <w:r>
        <w:rPr>
          <w:spacing w:val="-44"/>
        </w:rPr>
        <w:t> </w:t>
      </w:r>
      <w:r>
        <w:rPr/>
        <w:t>年期末的、2015</w:t>
      </w:r>
      <w:r>
        <w:rPr>
          <w:spacing w:val="-44"/>
        </w:rPr>
        <w:t> </w:t>
      </w:r>
      <w:r>
        <w:rPr/>
        <w:t>年重大资</w:t>
      </w:r>
      <w:r>
        <w:rPr>
          <w:w w:val="100"/>
        </w:rPr>
        <w:t> </w:t>
      </w:r>
      <w:r>
        <w:rPr>
          <w:spacing w:val="-2"/>
        </w:rPr>
        <w:t>产购买的标的资产长实通信的资产价值进行评估，聘请具有证券业务资格的审计机构中兴华对长实</w:t>
      </w:r>
      <w:r>
        <w:rPr>
          <w:spacing w:val="-42"/>
        </w:rPr>
        <w:t> </w:t>
      </w:r>
      <w:r>
        <w:rPr>
          <w:spacing w:val="-42"/>
        </w:rPr>
      </w:r>
      <w:r>
        <w:rPr/>
        <w:t>通信进行减值测试专项审核。</w:t>
      </w:r>
    </w:p>
    <w:p>
      <w:pPr>
        <w:pStyle w:val="BodyText"/>
        <w:spacing w:line="273" w:lineRule="auto"/>
        <w:ind w:left="393" w:right="450" w:firstLine="420"/>
        <w:jc w:val="both"/>
      </w:pPr>
      <w:r>
        <w:rPr/>
        <w:t>据中铭国际出具的评报字[2018]第 0011</w:t>
      </w:r>
      <w:r>
        <w:rPr>
          <w:spacing w:val="-22"/>
        </w:rPr>
        <w:t> </w:t>
      </w:r>
      <w:r>
        <w:rPr/>
        <w:t>号——《广东长实通信科技有限公司股东业绩补偿事</w:t>
      </w:r>
      <w:r>
        <w:rPr>
          <w:w w:val="100"/>
        </w:rPr>
        <w:t> </w:t>
      </w:r>
      <w:r>
        <w:rPr>
          <w:spacing w:val="-2"/>
        </w:rPr>
        <w:t>宜涉及的该公司股东全部权益价值项目评估报告》及说明，本次评估按照交易定价时依据的评估方</w:t>
      </w:r>
      <w:r>
        <w:rPr>
          <w:spacing w:val="-45"/>
        </w:rPr>
        <w:t> </w:t>
      </w:r>
      <w:r>
        <w:rPr>
          <w:spacing w:val="-45"/>
        </w:rPr>
      </w:r>
      <w:r>
        <w:rPr>
          <w:spacing w:val="-4"/>
        </w:rPr>
        <w:t>法收益法，对长实通信</w:t>
      </w:r>
      <w:r>
        <w:rPr>
          <w:spacing w:val="-47"/>
        </w:rPr>
        <w:t> </w:t>
      </w:r>
      <w:r>
        <w:rPr/>
        <w:t>2017</w:t>
      </w:r>
      <w:r>
        <w:rPr>
          <w:spacing w:val="-47"/>
        </w:rPr>
        <w:t> </w:t>
      </w:r>
      <w:r>
        <w:rPr/>
        <w:t>年末</w:t>
      </w:r>
      <w:r>
        <w:rPr>
          <w:spacing w:val="-49"/>
        </w:rPr>
        <w:t> </w:t>
      </w:r>
      <w:r>
        <w:rPr>
          <w:spacing w:val="-3"/>
        </w:rPr>
        <w:t>100%股权价值进行评估，评估基准日为</w:t>
      </w:r>
      <w:r>
        <w:rPr>
          <w:spacing w:val="-47"/>
        </w:rPr>
        <w:t> </w:t>
      </w:r>
      <w:r>
        <w:rPr/>
        <w:t>2017</w:t>
      </w:r>
      <w:r>
        <w:rPr>
          <w:spacing w:val="-49"/>
        </w:rPr>
        <w:t> </w:t>
      </w:r>
      <w:r>
        <w:rPr/>
        <w:t>年</w:t>
      </w:r>
      <w:r>
        <w:rPr>
          <w:spacing w:val="-47"/>
        </w:rPr>
        <w:t> </w:t>
      </w:r>
      <w:r>
        <w:rPr/>
        <w:t>12</w:t>
      </w:r>
      <w:r>
        <w:rPr>
          <w:spacing w:val="-49"/>
        </w:rPr>
        <w:t> </w:t>
      </w:r>
      <w:r>
        <w:rPr/>
        <w:t>月</w:t>
      </w:r>
      <w:r>
        <w:rPr>
          <w:spacing w:val="-47"/>
        </w:rPr>
        <w:t> </w:t>
      </w:r>
      <w:r>
        <w:rPr/>
        <w:t>31</w:t>
      </w:r>
      <w:r>
        <w:rPr>
          <w:spacing w:val="-49"/>
        </w:rPr>
        <w:t> </w:t>
      </w:r>
      <w:r>
        <w:rPr>
          <w:spacing w:val="-7"/>
        </w:rPr>
        <w:t>日，评估</w:t>
      </w:r>
      <w:r>
        <w:rPr>
          <w:spacing w:val="-103"/>
        </w:rPr>
        <w:t> </w:t>
      </w:r>
      <w:r>
        <w:rPr>
          <w:spacing w:val="-103"/>
        </w:rPr>
      </w:r>
      <w:r>
        <w:rPr/>
        <w:t>结论如下：</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93"/>
        <w:gridCol w:w="566"/>
        <w:gridCol w:w="1702"/>
        <w:gridCol w:w="1560"/>
        <w:gridCol w:w="1560"/>
        <w:gridCol w:w="1558"/>
      </w:tblGrid>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评估价值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增减额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增值率（%）</w:t>
            </w:r>
          </w:p>
        </w:tc>
      </w:tr>
      <w:tr>
        <w:trPr>
          <w:trHeight w:val="353" w:hRule="exact"/>
        </w:trPr>
        <w:tc>
          <w:tcPr>
            <w:tcW w:w="3259" w:type="dxa"/>
            <w:gridSpan w:val="2"/>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sz w:val="18"/>
              </w:rPr>
              <w:t>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B</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C = B –</w:t>
            </w:r>
            <w:r>
              <w:rPr>
                <w:rFonts w:ascii="宋体" w:hAnsi="宋体" w:cs="宋体" w:eastAsia="宋体" w:hint="default"/>
                <w:spacing w:val="-1"/>
                <w:sz w:val="18"/>
                <w:szCs w:val="18"/>
              </w:rPr>
              <w:t> </w:t>
            </w:r>
            <w:r>
              <w:rPr>
                <w:rFonts w:ascii="宋体" w:hAnsi="宋体" w:cs="宋体" w:eastAsia="宋体" w:hint="default"/>
                <w:sz w:val="18"/>
                <w:szCs w:val="18"/>
              </w:rPr>
              <w:t>A</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D=C/A×100%</w:t>
            </w:r>
          </w:p>
        </w:tc>
      </w:tr>
      <w:tr>
        <w:trPr>
          <w:trHeight w:val="35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80" w:right="0"/>
              <w:jc w:val="left"/>
              <w:rPr>
                <w:rFonts w:ascii="宋体" w:hAnsi="宋体" w:cs="宋体" w:eastAsia="宋体" w:hint="default"/>
                <w:sz w:val="18"/>
                <w:szCs w:val="18"/>
              </w:rPr>
            </w:pPr>
            <w:r>
              <w:rPr>
                <w:rFonts w:ascii="宋体"/>
                <w:sz w:val="18"/>
              </w:rPr>
              <w:t>85,314.34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693"/>
        <w:gridCol w:w="566"/>
        <w:gridCol w:w="1702"/>
        <w:gridCol w:w="1560"/>
        <w:gridCol w:w="1560"/>
        <w:gridCol w:w="1558"/>
      </w:tblGrid>
      <w:tr>
        <w:trPr>
          <w:trHeight w:val="35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40,302.30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调整前股东全部权益评估价值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45,012.04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233,500.00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188,487.31</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减：重组时三年承诺净利润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z w:val="18"/>
              </w:rPr>
              <w:t>32,760.00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调整后股东全部权益评估价值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45,012.04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200,700.00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155,687.32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16" w:right="0"/>
              <w:jc w:val="left"/>
              <w:rPr>
                <w:rFonts w:ascii="宋体" w:hAnsi="宋体" w:cs="宋体" w:eastAsia="宋体" w:hint="default"/>
                <w:sz w:val="18"/>
                <w:szCs w:val="18"/>
              </w:rPr>
            </w:pPr>
            <w:r>
              <w:rPr>
                <w:rFonts w:ascii="宋体"/>
                <w:sz w:val="18"/>
              </w:rPr>
              <w:t>178.01%</w:t>
            </w:r>
          </w:p>
        </w:tc>
      </w:tr>
    </w:tbl>
    <w:p>
      <w:pPr>
        <w:spacing w:line="240" w:lineRule="auto" w:before="12"/>
        <w:rPr>
          <w:rFonts w:ascii="宋体" w:hAnsi="宋体" w:cs="宋体" w:eastAsia="宋体" w:hint="default"/>
          <w:sz w:val="24"/>
          <w:szCs w:val="24"/>
        </w:rPr>
      </w:pPr>
    </w:p>
    <w:p>
      <w:pPr>
        <w:pStyle w:val="BodyText"/>
        <w:spacing w:line="273" w:lineRule="auto" w:before="36"/>
        <w:ind w:left="393" w:right="452" w:firstLine="420"/>
        <w:jc w:val="both"/>
      </w:pPr>
      <w:r>
        <w:rPr/>
        <w:t>经过评估的长实通信</w:t>
      </w:r>
      <w:r>
        <w:rPr>
          <w:spacing w:val="-52"/>
        </w:rPr>
        <w:t> </w:t>
      </w:r>
      <w:r>
        <w:rPr/>
        <w:t>2017</w:t>
      </w:r>
      <w:r>
        <w:rPr>
          <w:spacing w:val="-54"/>
        </w:rPr>
        <w:t> </w:t>
      </w:r>
      <w:r>
        <w:rPr/>
        <w:t>年期末的全部权益价值(净资产)为</w:t>
      </w:r>
      <w:r>
        <w:rPr>
          <w:spacing w:val="-52"/>
        </w:rPr>
        <w:t> </w:t>
      </w:r>
      <w:r>
        <w:rPr/>
        <w:t>200,700.00</w:t>
      </w:r>
      <w:r>
        <w:rPr>
          <w:spacing w:val="-54"/>
        </w:rPr>
        <w:t> </w:t>
      </w:r>
      <w:r>
        <w:rPr>
          <w:spacing w:val="-3"/>
        </w:rPr>
        <w:t>万元，比交易标的资</w:t>
      </w:r>
      <w:r>
        <w:rPr>
          <w:w w:val="100"/>
        </w:rPr>
        <w:t> </w:t>
      </w:r>
      <w:r>
        <w:rPr/>
        <w:t>产的作价</w:t>
      </w:r>
      <w:r>
        <w:rPr>
          <w:spacing w:val="-33"/>
        </w:rPr>
        <w:t> </w:t>
      </w:r>
      <w:r>
        <w:rPr/>
        <w:t>120,000.00</w:t>
      </w:r>
      <w:r>
        <w:rPr>
          <w:spacing w:val="-35"/>
        </w:rPr>
        <w:t> </w:t>
      </w:r>
      <w:r>
        <w:rPr/>
        <w:t>万元高</w:t>
      </w:r>
      <w:r>
        <w:rPr>
          <w:spacing w:val="-33"/>
        </w:rPr>
        <w:t> </w:t>
      </w:r>
      <w:r>
        <w:rPr/>
        <w:t>80,700.00</w:t>
      </w:r>
      <w:r>
        <w:rPr>
          <w:spacing w:val="-33"/>
        </w:rPr>
        <w:t> </w:t>
      </w:r>
      <w:r>
        <w:rPr/>
        <w:t>万元，比交易定价时中水致远资产评估有限公司以收益法</w:t>
      </w:r>
    </w:p>
    <w:p>
      <w:pPr>
        <w:pStyle w:val="BodyText"/>
        <w:spacing w:line="240" w:lineRule="auto"/>
        <w:ind w:left="393" w:right="342"/>
        <w:jc w:val="left"/>
      </w:pPr>
      <w:r>
        <w:rPr/>
        <w:t>的评估价值</w:t>
      </w:r>
      <w:r>
        <w:rPr>
          <w:spacing w:val="-32"/>
        </w:rPr>
        <w:t> </w:t>
      </w:r>
      <w:r>
        <w:rPr/>
        <w:t>120,295.34</w:t>
      </w:r>
      <w:r>
        <w:rPr>
          <w:spacing w:val="-32"/>
        </w:rPr>
        <w:t> </w:t>
      </w:r>
      <w:r>
        <w:rPr/>
        <w:t>万元高</w:t>
      </w:r>
      <w:r>
        <w:rPr>
          <w:spacing w:val="-32"/>
        </w:rPr>
        <w:t> </w:t>
      </w:r>
      <w:r>
        <w:rPr/>
        <w:t>80,404.66</w:t>
      </w:r>
      <w:r>
        <w:rPr>
          <w:spacing w:val="-32"/>
        </w:rPr>
        <w:t> </w:t>
      </w:r>
      <w:r>
        <w:rPr/>
        <w:t>万元；经过比对估值和相关减值测试过程，公司编制的</w:t>
      </w:r>
    </w:p>
    <w:p>
      <w:pPr>
        <w:pStyle w:val="BodyText"/>
        <w:spacing w:line="273" w:lineRule="auto" w:before="37"/>
        <w:ind w:left="393" w:right="450"/>
        <w:jc w:val="both"/>
      </w:pPr>
      <w:r>
        <w:rPr/>
        <w:t>《广东长实通信科技有限公司</w:t>
      </w:r>
      <w:r>
        <w:rPr>
          <w:spacing w:val="-19"/>
        </w:rPr>
        <w:t> </w:t>
      </w:r>
      <w:r>
        <w:rPr>
          <w:spacing w:val="-4"/>
        </w:rPr>
        <w:t>100%股东权益价值减值测试报告》的结论是没有发生减值，对此，中</w:t>
      </w:r>
      <w:r>
        <w:rPr>
          <w:spacing w:val="-90"/>
        </w:rPr>
        <w:t> </w:t>
      </w:r>
      <w:r>
        <w:rPr>
          <w:spacing w:val="-90"/>
        </w:rPr>
      </w:r>
      <w:r>
        <w:rPr/>
        <w:t>兴华出具的中兴华核字(2018)第</w:t>
      </w:r>
      <w:r>
        <w:rPr>
          <w:spacing w:val="-46"/>
        </w:rPr>
        <w:t> </w:t>
      </w:r>
      <w:r>
        <w:rPr/>
        <w:t>010075</w:t>
      </w:r>
      <w:r>
        <w:rPr>
          <w:spacing w:val="-44"/>
        </w:rPr>
        <w:t> </w:t>
      </w:r>
      <w:r>
        <w:rPr/>
        <w:t>号《关于对广东长实通信科技有限公司</w:t>
      </w:r>
      <w:r>
        <w:rPr>
          <w:spacing w:val="-44"/>
        </w:rPr>
        <w:t> </w:t>
      </w:r>
      <w:r>
        <w:rPr/>
        <w:t>100%股东权益价值</w:t>
      </w:r>
      <w:r>
        <w:rPr>
          <w:w w:val="100"/>
        </w:rPr>
        <w:t> </w:t>
      </w:r>
      <w:r>
        <w:rPr>
          <w:spacing w:val="-2"/>
        </w:rPr>
        <w:t>减值测试报告的审核报告》认为，公司“编制减值测试报告，在所有重大方面公允的反映了长实通</w:t>
      </w:r>
      <w:r>
        <w:rPr>
          <w:spacing w:val="-42"/>
        </w:rPr>
        <w:t> </w:t>
      </w:r>
      <w:r>
        <w:rPr>
          <w:spacing w:val="-42"/>
        </w:rPr>
      </w:r>
      <w:r>
        <w:rPr>
          <w:w w:val="100"/>
        </w:rPr>
        <w:t>信</w:t>
      </w:r>
      <w:r>
        <w:rPr>
          <w:spacing w:val="-51"/>
          <w:w w:val="100"/>
        </w:rPr>
        <w:t> </w:t>
      </w:r>
      <w:r>
        <w:rPr>
          <w:spacing w:val="-1"/>
          <w:w w:val="100"/>
        </w:rPr>
        <w:t>2017</w:t>
      </w:r>
      <w:r>
        <w:rPr>
          <w:spacing w:val="-51"/>
          <w:w w:val="100"/>
        </w:rPr>
        <w:t> </w:t>
      </w:r>
      <w:r>
        <w:rPr>
          <w:w w:val="100"/>
        </w:rPr>
        <w:t>年</w:t>
      </w:r>
      <w:r>
        <w:rPr>
          <w:spacing w:val="-53"/>
          <w:w w:val="100"/>
        </w:rPr>
        <w:t> </w:t>
      </w:r>
      <w:r>
        <w:rPr>
          <w:w w:val="100"/>
        </w:rPr>
        <w:t>12</w:t>
      </w:r>
      <w:r>
        <w:rPr>
          <w:spacing w:val="-53"/>
          <w:w w:val="100"/>
        </w:rPr>
        <w:t> </w:t>
      </w:r>
      <w:r>
        <w:rPr>
          <w:w w:val="100"/>
        </w:rPr>
        <w:t>月</w:t>
      </w:r>
      <w:r>
        <w:rPr>
          <w:spacing w:val="-51"/>
          <w:w w:val="100"/>
        </w:rPr>
        <w:t> </w:t>
      </w:r>
      <w:r>
        <w:rPr>
          <w:w w:val="100"/>
        </w:rPr>
        <w:t>31</w:t>
      </w:r>
      <w:r>
        <w:rPr>
          <w:spacing w:val="-53"/>
          <w:w w:val="100"/>
        </w:rPr>
        <w:t> </w:t>
      </w:r>
      <w:r>
        <w:rPr>
          <w:w w:val="100"/>
        </w:rPr>
        <w:t>日</w:t>
      </w:r>
      <w:r>
        <w:rPr>
          <w:spacing w:val="-51"/>
          <w:w w:val="100"/>
        </w:rPr>
        <w:t> </w:t>
      </w:r>
      <w:r>
        <w:rPr>
          <w:spacing w:val="-7"/>
          <w:w w:val="100"/>
        </w:rPr>
        <w:t>100%股东权益价值减值测试结论。”因此，没有触发约定的业绩补偿条款，长</w:t>
      </w:r>
      <w:r>
        <w:rPr>
          <w:w w:val="100"/>
        </w:rPr>
        <w:t> </w:t>
      </w:r>
      <w:r>
        <w:rPr/>
        <w:t>实网络、孝昌恒隆、长实锦轩、张文、李强不予以现金补偿。</w:t>
      </w:r>
    </w:p>
    <w:p>
      <w:pPr>
        <w:tabs>
          <w:tab w:pos="2476" w:val="left" w:leader="none"/>
        </w:tabs>
        <w:spacing w:line="624" w:lineRule="exact" w:before="65"/>
        <w:ind w:left="813" w:right="454" w:firstLine="818"/>
        <w:jc w:val="left"/>
        <w:rPr>
          <w:rFonts w:ascii="宋体" w:hAnsi="宋体" w:cs="宋体" w:eastAsia="宋体" w:hint="default"/>
          <w:sz w:val="21"/>
          <w:szCs w:val="21"/>
        </w:rPr>
      </w:pPr>
      <w:r>
        <w:rPr>
          <w:rFonts w:ascii="宋体" w:hAnsi="宋体" w:cs="宋体" w:eastAsia="宋体" w:hint="default"/>
          <w:b/>
          <w:bCs/>
          <w:sz w:val="21"/>
          <w:szCs w:val="21"/>
        </w:rPr>
        <w:t>第三节</w:t>
        <w:tab/>
        <w:t>资金占用、会计政策及报表合并范围变化、诉讼(仲裁)等事项</w:t>
      </w:r>
      <w:r>
        <w:rPr>
          <w:rFonts w:ascii="宋体" w:hAnsi="宋体" w:cs="宋体" w:eastAsia="宋体" w:hint="default"/>
          <w:b/>
          <w:bCs/>
          <w:w w:val="100"/>
          <w:sz w:val="21"/>
          <w:szCs w:val="21"/>
        </w:rPr>
        <w:t> </w:t>
      </w:r>
      <w:r>
        <w:rPr>
          <w:rFonts w:ascii="宋体" w:hAnsi="宋体" w:cs="宋体" w:eastAsia="宋体" w:hint="default"/>
          <w:spacing w:val="-2"/>
          <w:sz w:val="21"/>
          <w:szCs w:val="21"/>
        </w:rPr>
        <w:t>一、变更前控股股东中兆投资及其关联方、变更后第一大股东鹰溪谷及其关联方对上市公司的</w:t>
      </w:r>
    </w:p>
    <w:p>
      <w:pPr>
        <w:pStyle w:val="BodyText"/>
        <w:tabs>
          <w:tab w:pos="3681" w:val="left" w:leader="none"/>
        </w:tabs>
        <w:spacing w:line="217" w:lineRule="exact" w:before="0"/>
        <w:ind w:left="393" w:right="342"/>
        <w:jc w:val="left"/>
      </w:pPr>
      <w:r>
        <w:rPr/>
        <w:t>非经营性占用资金情况：□</w:t>
      </w:r>
      <w:r>
        <w:rPr>
          <w:spacing w:val="26"/>
        </w:rPr>
        <w:t> </w:t>
      </w:r>
      <w:r>
        <w:rPr/>
        <w:t>适用</w:t>
        <w:tab/>
        <w:t>√</w:t>
      </w:r>
      <w:r>
        <w:rPr>
          <w:spacing w:val="52"/>
        </w:rPr>
        <w:t> </w:t>
      </w:r>
      <w:r>
        <w:rPr/>
        <w:t>不适用(公司报告期不存在变更前控股股东及其关联方、变</w:t>
      </w:r>
    </w:p>
    <w:p>
      <w:pPr>
        <w:pStyle w:val="BodyText"/>
        <w:spacing w:line="273" w:lineRule="auto" w:before="37"/>
        <w:ind w:left="813" w:right="342" w:hanging="421"/>
        <w:jc w:val="left"/>
      </w:pPr>
      <w:r>
        <w:rPr/>
        <w:t>更后第一大股东及其关联方对上市公司的非经营性占用资金)。</w:t>
      </w:r>
      <w:r>
        <w:rPr>
          <w:w w:val="100"/>
        </w:rPr>
        <w:t> </w:t>
      </w:r>
      <w:r>
        <w:rPr>
          <w:spacing w:val="-2"/>
        </w:rPr>
        <w:t>公司年审会计师事务所中兴华对资金占用的专项审核意见与本年报同日刊载于巨潮资讯网。</w:t>
      </w:r>
    </w:p>
    <w:p>
      <w:pPr>
        <w:spacing w:line="240" w:lineRule="auto" w:before="6"/>
        <w:rPr>
          <w:rFonts w:ascii="宋体" w:hAnsi="宋体" w:cs="宋体" w:eastAsia="宋体" w:hint="default"/>
          <w:sz w:val="24"/>
          <w:szCs w:val="24"/>
        </w:rPr>
      </w:pPr>
    </w:p>
    <w:p>
      <w:pPr>
        <w:pStyle w:val="BodyText"/>
        <w:spacing w:line="300" w:lineRule="auto" w:before="0"/>
        <w:ind w:left="813" w:right="447"/>
        <w:jc w:val="left"/>
      </w:pPr>
      <w:r>
        <w:rPr/>
        <w:t>二、与上年度财务报告相比，会计政策、会计估计和核算方法发生变化的情况</w:t>
      </w:r>
      <w:r>
        <w:rPr>
          <w:w w:val="100"/>
        </w:rPr>
        <w:t> </w:t>
      </w:r>
      <w:r>
        <w:rPr/>
        <w:t>经公司第七届董事会</w:t>
      </w:r>
      <w:r>
        <w:rPr>
          <w:spacing w:val="-41"/>
        </w:rPr>
        <w:t> </w:t>
      </w:r>
      <w:r>
        <w:rPr/>
        <w:t>2018</w:t>
      </w:r>
      <w:r>
        <w:rPr>
          <w:spacing w:val="-43"/>
        </w:rPr>
        <w:t> </w:t>
      </w:r>
      <w:r>
        <w:rPr/>
        <w:t>年第六次会议批准，根据财政部于</w:t>
      </w:r>
      <w:r>
        <w:rPr>
          <w:spacing w:val="-43"/>
        </w:rPr>
        <w:t> </w:t>
      </w:r>
      <w:r>
        <w:rPr/>
        <w:t>2017</w:t>
      </w:r>
      <w:r>
        <w:rPr>
          <w:spacing w:val="-43"/>
        </w:rPr>
        <w:t> </w:t>
      </w:r>
      <w:r>
        <w:rPr/>
        <w:t>年</w:t>
      </w:r>
      <w:r>
        <w:rPr>
          <w:spacing w:val="-43"/>
        </w:rPr>
        <w:t> </w:t>
      </w:r>
      <w:r>
        <w:rPr/>
        <w:t>5</w:t>
      </w:r>
      <w:r>
        <w:rPr>
          <w:spacing w:val="-43"/>
        </w:rPr>
        <w:t> </w:t>
      </w:r>
      <w:r>
        <w:rPr/>
        <w:t>月</w:t>
      </w:r>
      <w:r>
        <w:rPr>
          <w:spacing w:val="-41"/>
        </w:rPr>
        <w:t> </w:t>
      </w:r>
      <w:r>
        <w:rPr/>
        <w:t>10</w:t>
      </w:r>
      <w:r>
        <w:rPr>
          <w:spacing w:val="-43"/>
        </w:rPr>
        <w:t> </w:t>
      </w:r>
      <w:r>
        <w:rPr/>
        <w:t>日颁布的《企业</w:t>
      </w:r>
    </w:p>
    <w:p>
      <w:pPr>
        <w:pStyle w:val="BodyText"/>
        <w:spacing w:line="259" w:lineRule="exact" w:before="0"/>
        <w:ind w:left="393" w:right="342"/>
        <w:jc w:val="left"/>
      </w:pPr>
      <w:r>
        <w:rPr>
          <w:w w:val="100"/>
        </w:rPr>
        <w:t>会计</w:t>
      </w:r>
      <w:r>
        <w:rPr>
          <w:spacing w:val="-3"/>
          <w:w w:val="100"/>
        </w:rPr>
        <w:t>准</w:t>
      </w:r>
      <w:r>
        <w:rPr>
          <w:w w:val="100"/>
        </w:rPr>
        <w:t>则第</w:t>
      </w:r>
      <w:r>
        <w:rPr>
          <w:spacing w:val="-9"/>
        </w:rPr>
        <w:t> </w:t>
      </w:r>
      <w:r>
        <w:rPr>
          <w:w w:val="100"/>
        </w:rPr>
        <w:t>16</w:t>
      </w:r>
      <w:r>
        <w:rPr>
          <w:spacing w:val="-12"/>
        </w:rPr>
        <w:t> </w:t>
      </w:r>
      <w:r>
        <w:rPr>
          <w:w w:val="100"/>
        </w:rPr>
        <w:t>号</w:t>
      </w:r>
      <w:r>
        <w:rPr>
          <w:spacing w:val="-3"/>
          <w:w w:val="100"/>
        </w:rPr>
        <w:t>—</w:t>
      </w:r>
      <w:r>
        <w:rPr>
          <w:w w:val="100"/>
        </w:rPr>
        <w:t>—</w:t>
      </w:r>
      <w:r>
        <w:rPr>
          <w:spacing w:val="-3"/>
          <w:w w:val="100"/>
        </w:rPr>
        <w:t>政</w:t>
      </w:r>
      <w:r>
        <w:rPr>
          <w:w w:val="100"/>
        </w:rPr>
        <w:t>府补</w:t>
      </w:r>
      <w:r>
        <w:rPr>
          <w:spacing w:val="-3"/>
          <w:w w:val="100"/>
        </w:rPr>
        <w:t>助</w:t>
      </w:r>
      <w:r>
        <w:rPr>
          <w:spacing w:val="-106"/>
          <w:w w:val="100"/>
        </w:rPr>
        <w:t>》</w:t>
      </w:r>
      <w:r>
        <w:rPr>
          <w:w w:val="100"/>
        </w:rPr>
        <w:t>（</w:t>
      </w:r>
      <w:r>
        <w:rPr>
          <w:spacing w:val="-3"/>
          <w:w w:val="100"/>
        </w:rPr>
        <w:t>2</w:t>
      </w:r>
      <w:r>
        <w:rPr>
          <w:w w:val="100"/>
        </w:rPr>
        <w:t>017</w:t>
      </w:r>
      <w:r>
        <w:rPr>
          <w:spacing w:val="-108"/>
          <w:w w:val="100"/>
        </w:rPr>
        <w:t>）</w:t>
      </w:r>
      <w:r>
        <w:rPr>
          <w:spacing w:val="-1"/>
          <w:w w:val="100"/>
        </w:rPr>
        <w:t>，</w:t>
      </w:r>
      <w:r>
        <w:rPr>
          <w:spacing w:val="-3"/>
          <w:w w:val="100"/>
        </w:rPr>
        <w:t>修</w:t>
      </w:r>
      <w:r>
        <w:rPr>
          <w:w w:val="100"/>
        </w:rPr>
        <w:t>改</w:t>
      </w:r>
      <w:r>
        <w:rPr>
          <w:spacing w:val="-3"/>
          <w:w w:val="100"/>
        </w:rPr>
        <w:t>了</w:t>
      </w:r>
      <w:r>
        <w:rPr>
          <w:w w:val="100"/>
        </w:rPr>
        <w:t>政府</w:t>
      </w:r>
      <w:r>
        <w:rPr>
          <w:spacing w:val="-3"/>
          <w:w w:val="100"/>
        </w:rPr>
        <w:t>补</w:t>
      </w:r>
      <w:r>
        <w:rPr>
          <w:w w:val="100"/>
        </w:rPr>
        <w:t>助</w:t>
      </w:r>
      <w:r>
        <w:rPr>
          <w:spacing w:val="-3"/>
          <w:w w:val="100"/>
        </w:rPr>
        <w:t>会</w:t>
      </w:r>
      <w:r>
        <w:rPr>
          <w:w w:val="100"/>
        </w:rPr>
        <w:t>计</w:t>
      </w:r>
      <w:r>
        <w:rPr>
          <w:spacing w:val="-3"/>
          <w:w w:val="100"/>
        </w:rPr>
        <w:t>处</w:t>
      </w:r>
      <w:r>
        <w:rPr>
          <w:w w:val="100"/>
        </w:rPr>
        <w:t>理</w:t>
      </w:r>
      <w:r>
        <w:rPr>
          <w:spacing w:val="-3"/>
          <w:w w:val="100"/>
        </w:rPr>
        <w:t>方</w:t>
      </w:r>
      <w:r>
        <w:rPr>
          <w:w w:val="100"/>
        </w:rPr>
        <w:t>法</w:t>
      </w:r>
      <w:r>
        <w:rPr>
          <w:spacing w:val="-3"/>
          <w:w w:val="100"/>
        </w:rPr>
        <w:t>及</w:t>
      </w:r>
      <w:r>
        <w:rPr>
          <w:w w:val="100"/>
        </w:rPr>
        <w:t>列报</w:t>
      </w:r>
      <w:r>
        <w:rPr>
          <w:spacing w:val="-3"/>
          <w:w w:val="100"/>
        </w:rPr>
        <w:t>项</w:t>
      </w:r>
      <w:r>
        <w:rPr>
          <w:w w:val="100"/>
        </w:rPr>
        <w:t>目</w:t>
      </w:r>
      <w:r>
        <w:rPr>
          <w:spacing w:val="-3"/>
          <w:w w:val="100"/>
        </w:rPr>
        <w:t>。</w:t>
      </w:r>
      <w:r>
        <w:rPr>
          <w:w w:val="100"/>
        </w:rPr>
        <w:t>根</w:t>
      </w:r>
      <w:r>
        <w:rPr>
          <w:spacing w:val="-3"/>
          <w:w w:val="100"/>
        </w:rPr>
        <w:t>据</w:t>
      </w:r>
      <w:r>
        <w:rPr>
          <w:w w:val="100"/>
        </w:rPr>
        <w:t>财</w:t>
      </w:r>
      <w:r>
        <w:rPr>
          <w:spacing w:val="-3"/>
          <w:w w:val="100"/>
        </w:rPr>
        <w:t>政</w:t>
      </w:r>
      <w:r>
        <w:rPr>
          <w:w w:val="100"/>
        </w:rPr>
        <w:t>部</w:t>
      </w:r>
    </w:p>
    <w:p>
      <w:pPr>
        <w:pStyle w:val="BodyText"/>
        <w:spacing w:line="273" w:lineRule="auto" w:before="37"/>
        <w:ind w:left="393" w:right="342"/>
        <w:jc w:val="left"/>
      </w:pPr>
      <w:r>
        <w:rPr>
          <w:w w:val="100"/>
        </w:rPr>
        <w:t>于</w:t>
      </w:r>
      <w:r>
        <w:rPr>
          <w:spacing w:val="-51"/>
          <w:w w:val="100"/>
        </w:rPr>
        <w:t> </w:t>
      </w:r>
      <w:r>
        <w:rPr>
          <w:spacing w:val="-1"/>
          <w:w w:val="100"/>
        </w:rPr>
        <w:t>2017</w:t>
      </w:r>
      <w:r>
        <w:rPr>
          <w:spacing w:val="-51"/>
          <w:w w:val="100"/>
        </w:rPr>
        <w:t> </w:t>
      </w:r>
      <w:r>
        <w:rPr>
          <w:w w:val="100"/>
        </w:rPr>
        <w:t>年</w:t>
      </w:r>
      <w:r>
        <w:rPr>
          <w:spacing w:val="-53"/>
          <w:w w:val="100"/>
        </w:rPr>
        <w:t> </w:t>
      </w:r>
      <w:r>
        <w:rPr>
          <w:w w:val="100"/>
        </w:rPr>
        <w:t>12</w:t>
      </w:r>
      <w:r>
        <w:rPr>
          <w:spacing w:val="-53"/>
          <w:w w:val="100"/>
        </w:rPr>
        <w:t> </w:t>
      </w:r>
      <w:r>
        <w:rPr>
          <w:w w:val="100"/>
        </w:rPr>
        <w:t>月</w:t>
      </w:r>
      <w:r>
        <w:rPr>
          <w:spacing w:val="-51"/>
          <w:w w:val="100"/>
        </w:rPr>
        <w:t> </w:t>
      </w:r>
      <w:r>
        <w:rPr>
          <w:w w:val="100"/>
        </w:rPr>
        <w:t>25</w:t>
      </w:r>
      <w:r>
        <w:rPr>
          <w:spacing w:val="-53"/>
          <w:w w:val="100"/>
        </w:rPr>
        <w:t> </w:t>
      </w:r>
      <w:r>
        <w:rPr>
          <w:spacing w:val="-5"/>
          <w:w w:val="100"/>
        </w:rPr>
        <w:t>日发布的《财政部关于修订印发一般企业财务报表格式的通知》（财会[2017]30</w:t>
      </w:r>
      <w:r>
        <w:rPr>
          <w:spacing w:val="-99"/>
          <w:w w:val="100"/>
        </w:rPr>
        <w:t> </w:t>
      </w:r>
      <w:r>
        <w:rPr>
          <w:spacing w:val="-99"/>
          <w:w w:val="100"/>
        </w:rPr>
      </w:r>
      <w:r>
        <w:rPr>
          <w:spacing w:val="-5"/>
          <w:w w:val="100"/>
        </w:rPr>
        <w:t>号），将部分原列示为“营业外收入”及“营业外支出”的资产处置损益调整至资产处置收益列报。</w:t>
      </w:r>
      <w:r>
        <w:rPr>
          <w:spacing w:val="-67"/>
          <w:w w:val="100"/>
        </w:rPr>
        <w:t> </w:t>
      </w:r>
      <w:r>
        <w:rPr>
          <w:spacing w:val="-67"/>
          <w:w w:val="100"/>
        </w:rPr>
      </w:r>
      <w:r>
        <w:rPr/>
        <w:t>相关变化为会计政策变更，对公司合并财务报表所有者权益、净利润无影响，不涉及追溯调整。有</w:t>
      </w:r>
      <w:r>
        <w:rPr>
          <w:w w:val="100"/>
        </w:rPr>
        <w:t> </w:t>
      </w:r>
      <w:r>
        <w:rPr/>
        <w:t>关列报项目名称及金额见本报告第九章财务报告“附注会计政策、会计估计变更”的相关内容。</w:t>
      </w:r>
    </w:p>
    <w:p>
      <w:pPr>
        <w:pStyle w:val="BodyText"/>
        <w:spacing w:line="273" w:lineRule="auto" w:before="164"/>
        <w:ind w:left="393" w:right="450" w:firstLine="420"/>
        <w:jc w:val="both"/>
      </w:pPr>
      <w:r>
        <w:rPr/>
        <w:t>三、报告期内发生重大会计差错更正需追溯重述的情况：□ 适用 √</w:t>
      </w:r>
      <w:r>
        <w:rPr>
          <w:spacing w:val="83"/>
        </w:rPr>
        <w:t> </w:t>
      </w:r>
      <w:r>
        <w:rPr/>
        <w:t>不适用(公司报告期无</w:t>
      </w:r>
      <w:r>
        <w:rPr>
          <w:w w:val="100"/>
        </w:rPr>
        <w:t> </w:t>
      </w:r>
      <w:r>
        <w:rPr/>
        <w:t>重大会计差错更正需追溯重述的情况)。</w:t>
      </w:r>
    </w:p>
    <w:p>
      <w:pPr>
        <w:pStyle w:val="BodyText"/>
        <w:spacing w:line="240" w:lineRule="auto" w:before="163"/>
        <w:ind w:left="813" w:right="1174"/>
        <w:jc w:val="left"/>
      </w:pPr>
      <w:r>
        <w:rPr/>
        <w:t>四、与上年度财务报告相比，合并报表范围发生变化的情况说明</w:t>
      </w:r>
    </w:p>
    <w:p>
      <w:pPr>
        <w:pStyle w:val="BodyText"/>
        <w:spacing w:line="273" w:lineRule="auto" w:before="37"/>
        <w:ind w:left="393" w:right="436" w:firstLine="420"/>
        <w:jc w:val="both"/>
      </w:pPr>
      <w:r>
        <w:rPr/>
        <w:t>截至</w:t>
      </w:r>
      <w:r>
        <w:rPr>
          <w:spacing w:val="-44"/>
        </w:rPr>
        <w:t> </w:t>
      </w:r>
      <w:r>
        <w:rPr/>
        <w:t>2017</w:t>
      </w:r>
      <w:r>
        <w:rPr>
          <w:spacing w:val="-48"/>
        </w:rPr>
        <w:t> </w:t>
      </w:r>
      <w:r>
        <w:rPr/>
        <w:t>年</w:t>
      </w:r>
      <w:r>
        <w:rPr>
          <w:spacing w:val="-44"/>
        </w:rPr>
        <w:t> </w:t>
      </w:r>
      <w:r>
        <w:rPr/>
        <w:t>12</w:t>
      </w:r>
      <w:r>
        <w:rPr>
          <w:spacing w:val="-48"/>
        </w:rPr>
        <w:t> </w:t>
      </w:r>
      <w:r>
        <w:rPr/>
        <w:t>月</w:t>
      </w:r>
      <w:r>
        <w:rPr>
          <w:spacing w:val="-44"/>
        </w:rPr>
        <w:t> </w:t>
      </w:r>
      <w:r>
        <w:rPr/>
        <w:t>31</w:t>
      </w:r>
      <w:r>
        <w:rPr>
          <w:spacing w:val="-48"/>
        </w:rPr>
        <w:t> </w:t>
      </w:r>
      <w:r>
        <w:rPr/>
        <w:t>日，公司将创世漫道于</w:t>
      </w:r>
      <w:r>
        <w:rPr>
          <w:spacing w:val="-48"/>
        </w:rPr>
        <w:t> </w:t>
      </w:r>
      <w:r>
        <w:rPr/>
        <w:t>2017</w:t>
      </w:r>
      <w:r>
        <w:rPr>
          <w:spacing w:val="-48"/>
        </w:rPr>
        <w:t> </w:t>
      </w:r>
      <w:r>
        <w:rPr/>
        <w:t>年</w:t>
      </w:r>
      <w:r>
        <w:rPr>
          <w:spacing w:val="-44"/>
        </w:rPr>
        <w:t> </w:t>
      </w:r>
      <w:r>
        <w:rPr/>
        <w:t>3</w:t>
      </w:r>
      <w:r>
        <w:rPr>
          <w:spacing w:val="-44"/>
        </w:rPr>
        <w:t> </w:t>
      </w:r>
      <w:r>
        <w:rPr/>
        <w:t>月</w:t>
      </w:r>
      <w:r>
        <w:rPr>
          <w:spacing w:val="-48"/>
        </w:rPr>
        <w:t> </w:t>
      </w:r>
      <w:r>
        <w:rPr/>
        <w:t>17</w:t>
      </w:r>
      <w:r>
        <w:rPr>
          <w:spacing w:val="-44"/>
        </w:rPr>
        <w:t> </w:t>
      </w:r>
      <w:r>
        <w:rPr/>
        <w:t>日设立的全资子公司新疆漫道通</w:t>
      </w:r>
      <w:r>
        <w:rPr>
          <w:w w:val="100"/>
        </w:rPr>
        <w:t> </w:t>
      </w:r>
      <w:r>
        <w:rPr>
          <w:spacing w:val="-4"/>
        </w:rPr>
        <w:t>信科技有限公司，将长实通信于</w:t>
      </w:r>
      <w:r>
        <w:rPr>
          <w:spacing w:val="-51"/>
        </w:rPr>
        <w:t> </w:t>
      </w:r>
      <w:r>
        <w:rPr/>
        <w:t>2017</w:t>
      </w:r>
      <w:r>
        <w:rPr>
          <w:spacing w:val="-51"/>
        </w:rPr>
        <w:t> </w:t>
      </w:r>
      <w:r>
        <w:rPr/>
        <w:t>年</w:t>
      </w:r>
      <w:r>
        <w:rPr>
          <w:spacing w:val="-53"/>
        </w:rPr>
        <w:t> </w:t>
      </w:r>
      <w:r>
        <w:rPr/>
        <w:t>8</w:t>
      </w:r>
      <w:r>
        <w:rPr>
          <w:spacing w:val="-51"/>
        </w:rPr>
        <w:t> </w:t>
      </w:r>
      <w:r>
        <w:rPr/>
        <w:t>月</w:t>
      </w:r>
      <w:r>
        <w:rPr>
          <w:spacing w:val="-53"/>
        </w:rPr>
        <w:t> </w:t>
      </w:r>
      <w:r>
        <w:rPr/>
        <w:t>6</w:t>
      </w:r>
      <w:r>
        <w:rPr>
          <w:spacing w:val="-51"/>
        </w:rPr>
        <w:t> </w:t>
      </w:r>
      <w:r>
        <w:rPr>
          <w:spacing w:val="-10"/>
        </w:rPr>
        <w:t>日、11</w:t>
      </w:r>
      <w:r>
        <w:rPr>
          <w:spacing w:val="-51"/>
        </w:rPr>
        <w:t> </w:t>
      </w:r>
      <w:r>
        <w:rPr/>
        <w:t>月</w:t>
      </w:r>
      <w:r>
        <w:rPr>
          <w:spacing w:val="-51"/>
        </w:rPr>
        <w:t> </w:t>
      </w:r>
      <w:r>
        <w:rPr/>
        <w:t>20</w:t>
      </w:r>
      <w:r>
        <w:rPr>
          <w:spacing w:val="-51"/>
        </w:rPr>
        <w:t> </w:t>
      </w:r>
      <w:r>
        <w:rPr/>
        <w:t>日分别设立的全资子公司新疆长实通信</w:t>
      </w:r>
      <w:r>
        <w:rPr>
          <w:w w:val="100"/>
        </w:rPr>
        <w:t> </w:t>
      </w:r>
      <w:r>
        <w:rPr/>
        <w:t>科技有限公司、霍尔果斯长实云谷信息科技有限公司，将报告期长实通信</w:t>
      </w:r>
      <w:r>
        <w:rPr>
          <w:spacing w:val="-63"/>
        </w:rPr>
        <w:t> </w:t>
      </w:r>
      <w:r>
        <w:rPr/>
        <w:t>1</w:t>
      </w:r>
      <w:r>
        <w:rPr>
          <w:spacing w:val="-63"/>
        </w:rPr>
        <w:t> </w:t>
      </w:r>
      <w:r>
        <w:rPr/>
        <w:t>元收购的控股子公司新</w:t>
      </w:r>
      <w:r>
        <w:rPr>
          <w:w w:val="100"/>
        </w:rPr>
        <w:t> </w:t>
      </w:r>
      <w:r>
        <w:rPr>
          <w:spacing w:val="-2"/>
        </w:rPr>
        <w:t>丝路融资租赁(深圳)有限公司，纳入合并范围。报告期合并报表范围变化不改变上年同口径数据。</w:t>
      </w:r>
    </w:p>
    <w:p>
      <w:pPr>
        <w:pStyle w:val="BodyText"/>
        <w:spacing w:line="240" w:lineRule="auto" w:before="163"/>
        <w:ind w:left="813" w:right="1174"/>
        <w:jc w:val="left"/>
      </w:pPr>
      <w:r>
        <w:rPr/>
        <w:t>五、公司聘任会计师事务所情况</w:t>
      </w:r>
    </w:p>
    <w:p>
      <w:pPr>
        <w:pStyle w:val="BodyText"/>
        <w:spacing w:line="240" w:lineRule="auto" w:before="99"/>
        <w:ind w:left="813" w:right="1174"/>
        <w:jc w:val="left"/>
      </w:pPr>
      <w:r>
        <w:rPr/>
        <w:t>1、 现聘任的境内会计师事务所情况</w:t>
      </w: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978"/>
        <w:gridCol w:w="6660"/>
      </w:tblGrid>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会计师事务所报酬(万元)</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报告期内支付公司年度审计费</w:t>
            </w:r>
            <w:r>
              <w:rPr>
                <w:rFonts w:ascii="宋体" w:hAnsi="宋体" w:cs="宋体" w:eastAsia="宋体" w:hint="default"/>
                <w:spacing w:val="-45"/>
                <w:sz w:val="18"/>
                <w:szCs w:val="18"/>
              </w:rPr>
              <w:t> </w:t>
            </w:r>
            <w:r>
              <w:rPr>
                <w:rFonts w:ascii="宋体" w:hAnsi="宋体" w:cs="宋体" w:eastAsia="宋体" w:hint="default"/>
                <w:sz w:val="18"/>
                <w:szCs w:val="18"/>
              </w:rPr>
              <w:t>68</w:t>
            </w:r>
            <w:r>
              <w:rPr>
                <w:rFonts w:ascii="宋体" w:hAnsi="宋体" w:cs="宋体" w:eastAsia="宋体" w:hint="default"/>
                <w:spacing w:val="-44"/>
                <w:sz w:val="18"/>
                <w:szCs w:val="18"/>
              </w:rPr>
              <w:t> </w:t>
            </w:r>
            <w:r>
              <w:rPr>
                <w:rFonts w:ascii="宋体" w:hAnsi="宋体" w:cs="宋体" w:eastAsia="宋体" w:hint="default"/>
                <w:sz w:val="18"/>
                <w:szCs w:val="18"/>
              </w:rPr>
              <w:t>万元、专项审计费用</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会计师事务所审计服务的连续年限</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已为公司提供了连续十五个完整会计年度财务报告的审计服务</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会计师事务所注册会计师姓名</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王广鹏、刘秀礼为第一年提供审计服务。</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报告期或审计期间公司没有改聘会计师事务所</w:t>
            </w:r>
          </w:p>
        </w:tc>
      </w:tr>
    </w:tbl>
    <w:p>
      <w:pPr>
        <w:spacing w:after="0" w:line="240" w:lineRule="auto"/>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auto" w:before="0"/>
        <w:ind w:left="393" w:right="447" w:firstLine="420"/>
        <w:jc w:val="left"/>
      </w:pPr>
      <w:r>
        <w:rPr/>
        <w:t>2、报告期公司聘请年审会计师事务所中兴华为内部控制审计会计师事务所，支付内控审计费</w:t>
      </w:r>
      <w:r>
        <w:rPr>
          <w:w w:val="100"/>
        </w:rPr>
        <w:t> </w:t>
      </w:r>
      <w:r>
        <w:rPr/>
        <w:t>用</w:t>
      </w:r>
      <w:r>
        <w:rPr>
          <w:spacing w:val="-56"/>
        </w:rPr>
        <w:t> </w:t>
      </w:r>
      <w:r>
        <w:rPr/>
        <w:t>30</w:t>
      </w:r>
      <w:r>
        <w:rPr>
          <w:spacing w:val="-57"/>
        </w:rPr>
        <w:t> </w:t>
      </w:r>
      <w:r>
        <w:rPr/>
        <w:t>万元。中兴华出具的公司内控审计报告于本年报同日刊载于巨潮资讯网。</w:t>
      </w:r>
    </w:p>
    <w:p>
      <w:pPr>
        <w:pStyle w:val="BodyText"/>
        <w:spacing w:line="273" w:lineRule="auto" w:before="164"/>
        <w:ind w:left="393" w:right="342" w:firstLine="420"/>
        <w:jc w:val="left"/>
      </w:pPr>
      <w:r>
        <w:rPr/>
        <w:t>3、本年度公司因重大资产重组事项，聘请中信证券为财务顾问，期间共支付财务顾问费</w:t>
      </w:r>
      <w:r>
        <w:rPr>
          <w:spacing w:val="71"/>
        </w:rPr>
        <w:t> </w:t>
      </w:r>
      <w:r>
        <w:rPr/>
        <w:t>150</w:t>
      </w:r>
      <w:r>
        <w:rPr>
          <w:w w:val="100"/>
        </w:rPr>
        <w:t> </w:t>
      </w:r>
      <w:r>
        <w:rPr/>
        <w:t>万元。</w:t>
      </w:r>
    </w:p>
    <w:p>
      <w:pPr>
        <w:pStyle w:val="BodyText"/>
        <w:spacing w:line="273" w:lineRule="auto" w:before="164"/>
        <w:ind w:left="813" w:right="4530"/>
        <w:jc w:val="left"/>
      </w:pPr>
      <w:r>
        <w:rPr/>
        <w:t>六、诉讼、仲裁事项</w:t>
      </w:r>
      <w:r>
        <w:rPr>
          <w:w w:val="100"/>
        </w:rPr>
        <w:t> </w:t>
      </w:r>
      <w:r>
        <w:rPr>
          <w:spacing w:val="-2"/>
        </w:rPr>
        <w:t>本报告期公司无重大诉讼、仲裁事项。</w:t>
      </w:r>
    </w:p>
    <w:p>
      <w:pPr>
        <w:pStyle w:val="BodyText"/>
        <w:spacing w:line="273" w:lineRule="auto" w:before="164"/>
        <w:ind w:left="813" w:right="342"/>
        <w:jc w:val="left"/>
      </w:pPr>
      <w:r>
        <w:rPr/>
        <w:t>七、处罚及整改情况</w:t>
      </w:r>
      <w:r>
        <w:rPr>
          <w:w w:val="100"/>
        </w:rPr>
        <w:t> </w:t>
      </w:r>
      <w:r>
        <w:rPr>
          <w:spacing w:val="-2"/>
        </w:rPr>
        <w:t>公司及其董事、监事、高级管理人员、控股股东、实际控制人、重大资产重组交易对方报告期</w:t>
      </w:r>
    </w:p>
    <w:p>
      <w:pPr>
        <w:pStyle w:val="BodyText"/>
        <w:spacing w:line="273" w:lineRule="auto" w:before="8"/>
        <w:ind w:left="393" w:right="433"/>
        <w:jc w:val="both"/>
      </w:pPr>
      <w:r>
        <w:rPr>
          <w:spacing w:val="-2"/>
        </w:rPr>
        <w:t>不存在被有权机关调查、被司法机关或纪检部门采取强制措施、被移送司法机关或追究刑事责任、</w:t>
      </w:r>
      <w:r>
        <w:rPr>
          <w:spacing w:val="-25"/>
        </w:rPr>
        <w:t> </w:t>
      </w:r>
      <w:r>
        <w:rPr>
          <w:spacing w:val="-25"/>
        </w:rPr>
      </w:r>
      <w:r>
        <w:rPr>
          <w:spacing w:val="-2"/>
        </w:rPr>
        <w:t>被中国证监会立案调查或行政处罚、被采取市场禁入措施、被认定为不适当人选、被环保、安监、</w:t>
      </w:r>
      <w:r>
        <w:rPr>
          <w:spacing w:val="-26"/>
        </w:rPr>
        <w:t> </w:t>
      </w:r>
      <w:r>
        <w:rPr>
          <w:spacing w:val="-26"/>
        </w:rPr>
      </w:r>
      <w:r>
        <w:rPr/>
        <w:t>税务等其他行政管理部门给予重大行政处罚、以及被证券交易所公开谴责的情形。</w:t>
      </w:r>
    </w:p>
    <w:p>
      <w:pPr>
        <w:pStyle w:val="BodyText"/>
        <w:spacing w:line="240" w:lineRule="auto" w:before="164"/>
        <w:ind w:left="813" w:right="342"/>
        <w:jc w:val="left"/>
      </w:pPr>
      <w:r>
        <w:rPr/>
        <w:t>八、公司及其变更前控股股东、实际控制人和变更后第一大股东及其实际控制人的诚信状况：</w:t>
      </w:r>
    </w:p>
    <w:p>
      <w:pPr>
        <w:pStyle w:val="BodyText"/>
        <w:spacing w:line="273" w:lineRule="auto" w:before="37"/>
        <w:ind w:left="393" w:right="455"/>
        <w:jc w:val="both"/>
      </w:pPr>
      <w:r>
        <w:rPr/>
        <w:t>□</w:t>
      </w:r>
      <w:r>
        <w:rPr>
          <w:spacing w:val="29"/>
        </w:rPr>
        <w:t> </w:t>
      </w:r>
      <w:r>
        <w:rPr/>
        <w:t>适用</w:t>
      </w:r>
      <w:r>
        <w:rPr>
          <w:spacing w:val="64"/>
        </w:rPr>
        <w:t> </w:t>
      </w:r>
      <w:r>
        <w:rPr/>
        <w:t>√</w:t>
      </w:r>
      <w:r>
        <w:rPr>
          <w:spacing w:val="34"/>
        </w:rPr>
        <w:t> </w:t>
      </w:r>
      <w:r>
        <w:rPr>
          <w:spacing w:val="4"/>
        </w:rPr>
        <w:t>不适用(报告期不存在未履行法院生效判决、所负数额较大的债务到期未清偿等情</w:t>
      </w:r>
      <w:r>
        <w:rPr>
          <w:spacing w:val="-100"/>
        </w:rPr>
        <w:t> </w:t>
      </w:r>
      <w:r>
        <w:rPr>
          <w:spacing w:val="-100"/>
        </w:rPr>
      </w:r>
      <w:r>
        <w:rPr/>
        <w:t>况)。</w:t>
      </w:r>
    </w:p>
    <w:p>
      <w:pPr>
        <w:pStyle w:val="BodyText"/>
        <w:tabs>
          <w:tab w:pos="8464" w:val="left" w:leader="none"/>
        </w:tabs>
        <w:spacing w:line="273" w:lineRule="auto" w:before="164"/>
        <w:ind w:left="393" w:right="452" w:firstLine="420"/>
        <w:jc w:val="left"/>
      </w:pPr>
      <w:r>
        <w:rPr/>
        <w:t>九、公司股权激励计划、员工持股计划或其他员工激励措施的实施情况：□</w:t>
      </w:r>
      <w:r>
        <w:rPr>
          <w:spacing w:val="-23"/>
        </w:rPr>
        <w:t> </w:t>
      </w:r>
      <w:r>
        <w:rPr/>
        <w:t>适用</w:t>
        <w:tab/>
        <w:t>√</w:t>
      </w:r>
      <w:r>
        <w:rPr>
          <w:spacing w:val="-1"/>
        </w:rPr>
        <w:t> </w:t>
      </w:r>
      <w:r>
        <w:rPr/>
        <w:t>不适用</w:t>
      </w:r>
      <w:r>
        <w:rPr>
          <w:w w:val="100"/>
        </w:rPr>
        <w:t> </w:t>
      </w:r>
      <w:r>
        <w:rPr/>
        <w:t>(公司报告期无股权激励计划、员工持股计划或其他员工激励措施及其实施情况)。</w:t>
      </w:r>
    </w:p>
    <w:p>
      <w:pPr>
        <w:spacing w:line="240" w:lineRule="auto" w:before="6"/>
        <w:rPr>
          <w:rFonts w:ascii="宋体" w:hAnsi="宋体" w:cs="宋体" w:eastAsia="宋体" w:hint="default"/>
          <w:sz w:val="24"/>
          <w:szCs w:val="24"/>
        </w:rPr>
      </w:pPr>
    </w:p>
    <w:p>
      <w:pPr>
        <w:tabs>
          <w:tab w:pos="4692" w:val="left" w:leader="none"/>
          <w:tab w:pos="4910" w:val="left" w:leader="none"/>
        </w:tabs>
        <w:spacing w:line="544" w:lineRule="auto" w:before="0"/>
        <w:ind w:left="813" w:right="3906" w:firstLine="3033"/>
        <w:jc w:val="left"/>
        <w:rPr>
          <w:rFonts w:ascii="宋体" w:hAnsi="宋体" w:cs="宋体" w:eastAsia="宋体" w:hint="default"/>
          <w:sz w:val="21"/>
          <w:szCs w:val="21"/>
        </w:rPr>
      </w:pPr>
      <w:r>
        <w:rPr/>
        <w:pict>
          <v:shape style="position:absolute;margin-left:59.279999pt;margin-top:48.98774pt;width:482.65pt;height:280.8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6"/>
                    <w:gridCol w:w="1985"/>
                    <w:gridCol w:w="4178"/>
                    <w:gridCol w:w="1349"/>
                  </w:tblGrid>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青岛海联金汇股份有限公司(002537.SZ)的全资子公司联动优势科技有限公司</w:t>
                        </w:r>
                      </w:p>
                    </w:tc>
                  </w:tr>
                  <w:tr>
                    <w:trPr>
                      <w:trHeight w:val="238" w:hRule="exact"/>
                    </w:trPr>
                    <w:tc>
                      <w:tcPr>
                        <w:tcW w:w="2126" w:type="dxa"/>
                        <w:tcBorders>
                          <w:top w:val="single" w:sz="4" w:space="0" w:color="000000"/>
                          <w:left w:val="single" w:sz="4" w:space="0" w:color="000000"/>
                          <w:bottom w:val="nil" w:sz="6" w:space="0" w:color="auto"/>
                          <w:right w:val="single" w:sz="4" w:space="0" w:color="000000"/>
                        </w:tcBorders>
                      </w:tcPr>
                      <w:p>
                        <w:pPr/>
                      </w:p>
                    </w:tc>
                    <w:tc>
                      <w:tcPr>
                        <w:tcW w:w="7512" w:type="dxa"/>
                        <w:gridSpan w:val="3"/>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公司关联自然人吴鹰董事亦是本公司以外法人海立美达的董事，符合《股票上市规则》10.1.3</w:t>
                        </w:r>
                      </w:p>
                    </w:tc>
                  </w:tr>
                  <w:tr>
                    <w:trPr>
                      <w:trHeight w:val="234" w:hRule="exact"/>
                    </w:trPr>
                    <w:tc>
                      <w:tcPr>
                        <w:tcW w:w="212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512"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条(三)款规定的关联关系情形。因此，本公司全资子公司创世漫道与海立美达的全资子公司联</w:t>
                        </w:r>
                      </w:p>
                    </w:tc>
                  </w:tr>
                  <w:tr>
                    <w:trPr>
                      <w:trHeight w:val="239" w:hRule="exact"/>
                    </w:trPr>
                    <w:tc>
                      <w:tcPr>
                        <w:tcW w:w="2126" w:type="dxa"/>
                        <w:tcBorders>
                          <w:top w:val="nil" w:sz="6" w:space="0" w:color="auto"/>
                          <w:left w:val="single" w:sz="4" w:space="0" w:color="000000"/>
                          <w:bottom w:val="single" w:sz="4" w:space="0" w:color="000000"/>
                          <w:right w:val="single" w:sz="4" w:space="0" w:color="000000"/>
                        </w:tcBorders>
                      </w:tcPr>
                      <w:p>
                        <w:pPr/>
                      </w:p>
                    </w:tc>
                    <w:tc>
                      <w:tcPr>
                        <w:tcW w:w="7512" w:type="dxa"/>
                        <w:gridSpan w:val="3"/>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动优势之间的交易为关联交易。</w:t>
                        </w:r>
                      </w:p>
                    </w:tc>
                  </w:tr>
                  <w:tr>
                    <w:trPr>
                      <w:trHeight w:val="32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236" w:hRule="exact"/>
                    </w:trPr>
                    <w:tc>
                      <w:tcPr>
                        <w:tcW w:w="2126" w:type="dxa"/>
                        <w:tcBorders>
                          <w:top w:val="single" w:sz="4" w:space="0" w:color="000000"/>
                          <w:left w:val="single" w:sz="4" w:space="0" w:color="000000"/>
                          <w:bottom w:val="nil" w:sz="6" w:space="0" w:color="auto"/>
                          <w:right w:val="single" w:sz="4" w:space="0" w:color="000000"/>
                        </w:tcBorders>
                      </w:tcPr>
                      <w:p>
                        <w:pPr/>
                      </w:p>
                    </w:tc>
                    <w:tc>
                      <w:tcPr>
                        <w:tcW w:w="7512"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通过联动优势是银行的供应商</w:t>
                        </w:r>
                        <w:r>
                          <w:rPr>
                            <w:rFonts w:ascii="宋体" w:hAnsi="宋体" w:cs="宋体" w:eastAsia="宋体" w:hint="default"/>
                            <w:spacing w:val="1"/>
                            <w:sz w:val="18"/>
                            <w:szCs w:val="18"/>
                          </w:rPr>
                          <w:t>(</w:t>
                        </w:r>
                        <w:r>
                          <w:rPr>
                            <w:rFonts w:ascii="宋体" w:hAnsi="宋体" w:cs="宋体" w:eastAsia="宋体" w:hint="default"/>
                            <w:sz w:val="18"/>
                            <w:szCs w:val="18"/>
                          </w:rPr>
                          <w:t>创世漫道不具备</w:t>
                        </w:r>
                        <w:r>
                          <w:rPr>
                            <w:rFonts w:ascii="宋体" w:hAnsi="宋体" w:cs="宋体" w:eastAsia="宋体" w:hint="default"/>
                            <w:spacing w:val="1"/>
                            <w:sz w:val="18"/>
                            <w:szCs w:val="18"/>
                          </w:rPr>
                          <w:t>)</w:t>
                        </w:r>
                        <w:r>
                          <w:rPr>
                            <w:rFonts w:ascii="宋体" w:hAnsi="宋体" w:cs="宋体" w:eastAsia="宋体" w:hint="default"/>
                            <w:sz w:val="18"/>
                            <w:szCs w:val="18"/>
                          </w:rPr>
                          <w:t>与银行合作</w:t>
                        </w:r>
                        <w:r>
                          <w:rPr>
                            <w:rFonts w:ascii="宋体" w:hAnsi="宋体" w:cs="宋体" w:eastAsia="宋体" w:hint="default"/>
                            <w:spacing w:val="-85"/>
                            <w:sz w:val="18"/>
                            <w:szCs w:val="18"/>
                          </w:rPr>
                          <w:t>，</w:t>
                        </w:r>
                        <w:r>
                          <w:rPr>
                            <w:rFonts w:ascii="宋体" w:hAnsi="宋体" w:cs="宋体" w:eastAsia="宋体" w:hint="default"/>
                            <w:sz w:val="18"/>
                            <w:szCs w:val="18"/>
                          </w:rPr>
                          <w:t>通过创世漫道的短信服务能力和</w:t>
                        </w:r>
                      </w:p>
                    </w:tc>
                  </w:tr>
                  <w:tr>
                    <w:trPr>
                      <w:trHeight w:val="233" w:hRule="exact"/>
                    </w:trPr>
                    <w:tc>
                      <w:tcPr>
                        <w:tcW w:w="21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7512"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通道(联动优势不具备)，开展创世漫道的短信发送业务，该等短信发送收入由客户经联动优势</w:t>
                        </w:r>
                      </w:p>
                    </w:tc>
                  </w:tr>
                  <w:tr>
                    <w:trPr>
                      <w:trHeight w:val="239" w:hRule="exact"/>
                    </w:trPr>
                    <w:tc>
                      <w:tcPr>
                        <w:tcW w:w="2126" w:type="dxa"/>
                        <w:tcBorders>
                          <w:top w:val="nil" w:sz="6" w:space="0" w:color="auto"/>
                          <w:left w:val="single" w:sz="4" w:space="0" w:color="000000"/>
                          <w:bottom w:val="single" w:sz="4" w:space="0" w:color="000000"/>
                          <w:right w:val="single" w:sz="4" w:space="0" w:color="000000"/>
                        </w:tcBorders>
                      </w:tcPr>
                      <w:p>
                        <w:pPr/>
                      </w:p>
                    </w:tc>
                    <w:tc>
                      <w:tcPr>
                        <w:tcW w:w="7512" w:type="dxa"/>
                        <w:gridSpan w:val="3"/>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付给创世漫道。</w:t>
                        </w:r>
                      </w:p>
                    </w:tc>
                  </w:tr>
                  <w:tr>
                    <w:trPr>
                      <w:trHeight w:val="32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交易定价原则</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有利于上市公司、公平、公允的原则。</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依据交易双方工作量、贡献不同进行分成。</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关联交易金额(万元)</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pacing w:val="-47"/>
                            <w:sz w:val="18"/>
                            <w:szCs w:val="18"/>
                          </w:rPr>
                          <w:t> </w:t>
                        </w:r>
                        <w:r>
                          <w:rPr>
                            <w:rFonts w:ascii="宋体" w:hAnsi="宋体" w:cs="宋体" w:eastAsia="宋体" w:hint="default"/>
                            <w:sz w:val="18"/>
                            <w:szCs w:val="18"/>
                          </w:rPr>
                          <w:t>6,398.56</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占同类交易金额比例</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10.57%</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9"/>
                            <w:sz w:val="18"/>
                            <w:szCs w:val="18"/>
                          </w:rPr>
                          <w:t>获批交易额度(万元)</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10,000</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是否超过获批额度</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交易结算方式</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可获得的同类交易市价</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披露索引</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披露的网站名称</w:t>
                        </w:r>
                      </w:p>
                    </w:tc>
                    <w:tc>
                      <w:tcPr>
                        <w:tcW w:w="5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2126" w:type="dxa"/>
                        <w:vMerge/>
                        <w:tcBorders>
                          <w:left w:val="single" w:sz="4" w:space="0" w:color="000000"/>
                          <w:right w:val="single" w:sz="4" w:space="0" w:color="000000"/>
                        </w:tcBorders>
                      </w:tcPr>
                      <w:p>
                        <w:pPr/>
                      </w:p>
                    </w:tc>
                    <w:tc>
                      <w:tcPr>
                        <w:tcW w:w="61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公告名称(编号)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2126" w:type="dxa"/>
                        <w:vMerge/>
                        <w:tcBorders>
                          <w:left w:val="single" w:sz="4" w:space="0" w:color="000000"/>
                          <w:bottom w:val="single" w:sz="4" w:space="0" w:color="000000"/>
                          <w:right w:val="single" w:sz="4" w:space="0" w:color="000000"/>
                        </w:tcBorders>
                      </w:tcPr>
                      <w:p>
                        <w:pPr/>
                      </w:p>
                    </w:tc>
                    <w:tc>
                      <w:tcPr>
                        <w:tcW w:w="61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公司关于全资子公司创世漫道日常关联交易预计公告(公告编号：2017-33)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2017-04-11</w:t>
                        </w:r>
                      </w:p>
                    </w:tc>
                  </w:tr>
                </w:tbl>
                <w:p>
                  <w:pPr/>
                </w:p>
              </w:txbxContent>
            </v:textbox>
            <w10:wrap type="none"/>
          </v:shape>
        </w:pict>
      </w:r>
      <w:r>
        <w:rPr>
          <w:rFonts w:ascii="宋体" w:hAnsi="宋体" w:cs="宋体" w:eastAsia="宋体" w:hint="default"/>
          <w:b/>
          <w:bCs/>
          <w:sz w:val="21"/>
          <w:szCs w:val="21"/>
        </w:rPr>
        <w:t>第四节</w:t>
        <w:tab/>
        <w:t>关联交易事项</w:t>
      </w:r>
      <w:r>
        <w:rPr>
          <w:rFonts w:ascii="宋体" w:hAnsi="宋体" w:cs="宋体" w:eastAsia="宋体" w:hint="default"/>
          <w:b/>
          <w:bCs/>
          <w:w w:val="100"/>
          <w:sz w:val="21"/>
          <w:szCs w:val="21"/>
        </w:rPr>
        <w:t> </w:t>
      </w:r>
      <w:r>
        <w:rPr>
          <w:rFonts w:ascii="宋体" w:hAnsi="宋体" w:cs="宋体" w:eastAsia="宋体" w:hint="default"/>
          <w:sz w:val="21"/>
          <w:szCs w:val="21"/>
        </w:rPr>
        <w:t>一、与日常经营相关的关联交易：√</w:t>
      </w:r>
      <w:r>
        <w:rPr>
          <w:rFonts w:ascii="宋体" w:hAnsi="宋体" w:cs="宋体" w:eastAsia="宋体" w:hint="default"/>
          <w:spacing w:val="-2"/>
          <w:sz w:val="21"/>
          <w:szCs w:val="21"/>
        </w:rPr>
        <w:t> </w:t>
      </w:r>
      <w:r>
        <w:rPr>
          <w:rFonts w:ascii="宋体" w:hAnsi="宋体" w:cs="宋体" w:eastAsia="宋体" w:hint="default"/>
          <w:sz w:val="21"/>
          <w:szCs w:val="21"/>
        </w:rPr>
        <w:t>适用</w:t>
        <w:tab/>
        <w:t>□</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73" w:lineRule="auto" w:before="36"/>
        <w:ind w:left="393" w:right="450" w:firstLine="420"/>
        <w:jc w:val="both"/>
      </w:pPr>
      <w:r>
        <w:rPr>
          <w:spacing w:val="-3"/>
        </w:rPr>
        <w:t>上表日常关联交易金额与获批交易额度存在较大差异的主要原因：1、 </w:t>
      </w:r>
      <w:r>
        <w:rPr/>
        <w:t>2017</w:t>
      </w:r>
      <w:r>
        <w:rPr>
          <w:spacing w:val="-42"/>
        </w:rPr>
        <w:t> </w:t>
      </w:r>
      <w:r>
        <w:rPr/>
        <w:t>年一季度联动优势</w:t>
      </w:r>
      <w:r>
        <w:rPr>
          <w:w w:val="100"/>
        </w:rPr>
        <w:t> </w:t>
      </w:r>
      <w:r>
        <w:rPr>
          <w:spacing w:val="-3"/>
        </w:rPr>
        <w:t>中标移动总部政企短信项目，拟委托创世漫道提供的码号</w:t>
      </w:r>
      <w:r>
        <w:rPr>
          <w:spacing w:val="-38"/>
        </w:rPr>
        <w:t> </w:t>
      </w:r>
      <w:r>
        <w:rPr>
          <w:spacing w:val="-4"/>
        </w:rPr>
        <w:t>10690***进行发送，按</w:t>
      </w:r>
      <w:r>
        <w:rPr>
          <w:spacing w:val="-41"/>
        </w:rPr>
        <w:t> </w:t>
      </w:r>
      <w:r>
        <w:rPr/>
        <w:t>9</w:t>
      </w:r>
      <w:r>
        <w:rPr>
          <w:spacing w:val="-38"/>
        </w:rPr>
        <w:t> </w:t>
      </w:r>
      <w:r>
        <w:rPr/>
        <w:t>个月发送量预估</w:t>
      </w:r>
      <w:r>
        <w:rPr>
          <w:spacing w:val="-98"/>
        </w:rPr>
        <w:t> </w:t>
      </w:r>
      <w:r>
        <w:rPr>
          <w:spacing w:val="-98"/>
        </w:rPr>
      </w:r>
      <w:r>
        <w:rPr/>
        <w:t>收入</w:t>
      </w:r>
      <w:r>
        <w:rPr>
          <w:spacing w:val="-27"/>
        </w:rPr>
        <w:t> </w:t>
      </w:r>
      <w:r>
        <w:rPr/>
        <w:t>1,900</w:t>
      </w:r>
      <w:r>
        <w:rPr>
          <w:spacing w:val="-30"/>
        </w:rPr>
        <w:t> </w:t>
      </w:r>
      <w:r>
        <w:rPr>
          <w:spacing w:val="-7"/>
        </w:rPr>
        <w:t>万元；由于码号</w:t>
      </w:r>
      <w:r>
        <w:rPr>
          <w:spacing w:val="-27"/>
        </w:rPr>
        <w:t> </w:t>
      </w:r>
      <w:r>
        <w:rPr>
          <w:spacing w:val="-3"/>
        </w:rPr>
        <w:t>10690***需要从原落地省份浙江移动迁至移动总部未成，造成该项业务</w:t>
      </w:r>
    </w:p>
    <w:p>
      <w:pPr>
        <w:spacing w:after="0" w:line="273" w:lineRule="auto"/>
        <w:jc w:val="both"/>
        <w:sectPr>
          <w:pgSz w:w="11910" w:h="16840"/>
          <w:pgMar w:header="884" w:footer="1000" w:top="1140" w:bottom="1200" w:left="1080" w:right="960"/>
        </w:sectPr>
      </w:pPr>
    </w:p>
    <w:p>
      <w:pPr>
        <w:pStyle w:val="BodyText"/>
        <w:spacing w:line="273" w:lineRule="auto" w:before="131"/>
        <w:ind w:left="393" w:right="344"/>
        <w:jc w:val="left"/>
      </w:pPr>
      <w:r>
        <w:rPr/>
        <w:t>未能进行减少交易约</w:t>
      </w:r>
      <w:r>
        <w:rPr>
          <w:spacing w:val="-44"/>
        </w:rPr>
        <w:t> </w:t>
      </w:r>
      <w:r>
        <w:rPr/>
        <w:t>1,900</w:t>
      </w:r>
      <w:r>
        <w:rPr>
          <w:spacing w:val="-42"/>
        </w:rPr>
        <w:t> </w:t>
      </w:r>
      <w:r>
        <w:rPr/>
        <w:t>万元。2、2017</w:t>
      </w:r>
      <w:r>
        <w:rPr>
          <w:spacing w:val="-42"/>
        </w:rPr>
        <w:t> </w:t>
      </w:r>
      <w:r>
        <w:rPr/>
        <w:t>年下半年预计启动东亚银行项目，联动优势拟通过创世</w:t>
      </w:r>
      <w:r>
        <w:rPr>
          <w:w w:val="100"/>
        </w:rPr>
        <w:t> </w:t>
      </w:r>
      <w:r>
        <w:rPr/>
        <w:t>漫道来进行发送，按</w:t>
      </w:r>
      <w:r>
        <w:rPr>
          <w:spacing w:val="-54"/>
        </w:rPr>
        <w:t> </w:t>
      </w:r>
      <w:r>
        <w:rPr/>
        <w:t>6</w:t>
      </w:r>
      <w:r>
        <w:rPr>
          <w:spacing w:val="-54"/>
        </w:rPr>
        <w:t> </w:t>
      </w:r>
      <w:r>
        <w:rPr/>
        <w:t>个月发送量预估收入</w:t>
      </w:r>
      <w:r>
        <w:rPr>
          <w:spacing w:val="-54"/>
        </w:rPr>
        <w:t> </w:t>
      </w:r>
      <w:r>
        <w:rPr/>
        <w:t>350</w:t>
      </w:r>
      <w:r>
        <w:rPr>
          <w:spacing w:val="-54"/>
        </w:rPr>
        <w:t> </w:t>
      </w:r>
      <w:r>
        <w:rPr/>
        <w:t>万元，由于客户未启动发送减少交易约</w:t>
      </w:r>
      <w:r>
        <w:rPr>
          <w:spacing w:val="-54"/>
        </w:rPr>
        <w:t> </w:t>
      </w:r>
      <w:r>
        <w:rPr/>
        <w:t>350</w:t>
      </w:r>
      <w:r>
        <w:rPr>
          <w:spacing w:val="-56"/>
        </w:rPr>
        <w:t> </w:t>
      </w:r>
      <w:r>
        <w:rPr/>
        <w:t>万元。</w:t>
      </w:r>
      <w:r>
        <w:rPr>
          <w:w w:val="100"/>
        </w:rPr>
        <w:t> </w:t>
      </w:r>
      <w:r>
        <w:rPr/>
        <w:t>3、为了降低通道风险，除创世漫道外联动优势之后接入了其它合作方，分流预估收入</w:t>
      </w:r>
      <w:r>
        <w:rPr>
          <w:spacing w:val="-63"/>
        </w:rPr>
        <w:t> </w:t>
      </w:r>
      <w:r>
        <w:rPr/>
        <w:t>1,000</w:t>
      </w:r>
      <w:r>
        <w:rPr>
          <w:spacing w:val="-65"/>
        </w:rPr>
        <w:t> </w:t>
      </w:r>
      <w:r>
        <w:rPr/>
        <w:t>万元，</w:t>
      </w:r>
      <w:r>
        <w:rPr>
          <w:w w:val="100"/>
        </w:rPr>
        <w:t> </w:t>
      </w:r>
      <w:r>
        <w:rPr/>
        <w:t>减少交易约</w:t>
      </w:r>
      <w:r>
        <w:rPr>
          <w:spacing w:val="-59"/>
        </w:rPr>
        <w:t> </w:t>
      </w:r>
      <w:r>
        <w:rPr/>
        <w:t>1,000</w:t>
      </w:r>
      <w:r>
        <w:rPr>
          <w:spacing w:val="-59"/>
        </w:rPr>
        <w:t> </w:t>
      </w:r>
      <w:r>
        <w:rPr/>
        <w:t>万元。独立董事认为：上述日常关联交易金额与获批交易额度存在较大差异有客</w:t>
      </w:r>
      <w:r>
        <w:rPr>
          <w:w w:val="100"/>
        </w:rPr>
        <w:t> </w:t>
      </w:r>
      <w:r>
        <w:rPr>
          <w:spacing w:val="-5"/>
        </w:rPr>
        <w:t>观原因，但创世漫道应与联动优势沟通，充分评估预估金额实现的可能性，提高预估金额的准确性。</w:t>
      </w:r>
      <w:r>
        <w:rPr>
          <w:spacing w:val="-12"/>
        </w:rPr>
        <w:t> </w:t>
      </w:r>
      <w:r>
        <w:rPr>
          <w:spacing w:val="-12"/>
        </w:rPr>
      </w:r>
      <w:r>
        <w:rPr>
          <w:spacing w:val="2"/>
        </w:rPr>
        <w:t>独立董事关于日常关联交易实际发生情况与预计存在较大差异的说明及核查并发表的专项意见已</w:t>
      </w:r>
      <w:r>
        <w:rPr>
          <w:spacing w:val="-20"/>
        </w:rPr>
        <w:t> </w:t>
      </w:r>
      <w:r>
        <w:rPr>
          <w:spacing w:val="-20"/>
        </w:rPr>
      </w:r>
      <w:r>
        <w:rPr/>
        <w:t>于</w:t>
      </w:r>
      <w:r>
        <w:rPr>
          <w:spacing w:val="-53"/>
        </w:rPr>
        <w:t> </w:t>
      </w:r>
      <w:r>
        <w:rPr/>
        <w:t>2018</w:t>
      </w:r>
      <w:r>
        <w:rPr>
          <w:spacing w:val="-53"/>
        </w:rPr>
        <w:t> </w:t>
      </w:r>
      <w:r>
        <w:rPr/>
        <w:t>年</w:t>
      </w:r>
      <w:r>
        <w:rPr>
          <w:spacing w:val="-55"/>
        </w:rPr>
        <w:t> </w:t>
      </w:r>
      <w:r>
        <w:rPr/>
        <w:t>3</w:t>
      </w:r>
      <w:r>
        <w:rPr>
          <w:spacing w:val="-53"/>
        </w:rPr>
        <w:t> </w:t>
      </w:r>
      <w:r>
        <w:rPr/>
        <w:t>月</w:t>
      </w:r>
      <w:r>
        <w:rPr>
          <w:spacing w:val="-55"/>
        </w:rPr>
        <w:t> </w:t>
      </w:r>
      <w:r>
        <w:rPr/>
        <w:t>28</w:t>
      </w:r>
      <w:r>
        <w:rPr>
          <w:spacing w:val="-53"/>
        </w:rPr>
        <w:t> </w:t>
      </w:r>
      <w:r>
        <w:rPr/>
        <w:t>日刊载在巨潮资讯网上。</w:t>
      </w:r>
    </w:p>
    <w:p>
      <w:pPr>
        <w:spacing w:line="240" w:lineRule="auto" w:before="6"/>
        <w:rPr>
          <w:rFonts w:ascii="宋体" w:hAnsi="宋体" w:cs="宋体" w:eastAsia="宋体" w:hint="default"/>
          <w:sz w:val="24"/>
          <w:szCs w:val="24"/>
        </w:rPr>
      </w:pPr>
    </w:p>
    <w:p>
      <w:pPr>
        <w:pStyle w:val="BodyText"/>
        <w:spacing w:line="273" w:lineRule="auto" w:before="0"/>
        <w:ind w:left="393" w:right="452" w:firstLine="420"/>
        <w:jc w:val="both"/>
      </w:pPr>
      <w:r>
        <w:rPr/>
        <w:t>二、资产或股权收购、出售发生的关联交易：□ 适用 √</w:t>
      </w:r>
      <w:r>
        <w:rPr>
          <w:spacing w:val="81"/>
        </w:rPr>
        <w:t> </w:t>
      </w:r>
      <w:r>
        <w:rPr/>
        <w:t>不适用(公司报告期未发生资产或</w:t>
      </w:r>
      <w:r>
        <w:rPr>
          <w:w w:val="100"/>
        </w:rPr>
        <w:t> </w:t>
      </w:r>
      <w:r>
        <w:rPr/>
        <w:t>股权收购、出售的关联交易)。</w:t>
      </w:r>
    </w:p>
    <w:p>
      <w:pPr>
        <w:pStyle w:val="BodyText"/>
        <w:spacing w:line="273" w:lineRule="auto" w:before="164"/>
        <w:ind w:left="393" w:right="452" w:firstLine="420"/>
        <w:jc w:val="both"/>
      </w:pPr>
      <w:r>
        <w:rPr/>
        <w:t>三、共同对外投资的关联交易：□ 适用 √</w:t>
      </w:r>
      <w:r>
        <w:rPr>
          <w:spacing w:val="81"/>
        </w:rPr>
        <w:t> </w:t>
      </w:r>
      <w:r>
        <w:rPr/>
        <w:t>不适用(公司报告期未发生共同对外投资的关联</w:t>
      </w:r>
      <w:r>
        <w:rPr>
          <w:w w:val="100"/>
        </w:rPr>
        <w:t> </w:t>
      </w:r>
      <w:r>
        <w:rPr/>
        <w:t>交易)。</w:t>
      </w:r>
    </w:p>
    <w:p>
      <w:pPr>
        <w:pStyle w:val="BodyText"/>
        <w:tabs>
          <w:tab w:pos="4053" w:val="left" w:leader="none"/>
        </w:tabs>
        <w:spacing w:line="273" w:lineRule="auto" w:before="164"/>
        <w:ind w:left="393" w:right="347" w:firstLine="420"/>
        <w:jc w:val="left"/>
      </w:pPr>
      <w:r>
        <w:rPr>
          <w:spacing w:val="-3"/>
        </w:rPr>
        <w:t>四、关联债权债务往来：□</w:t>
      </w:r>
      <w:r>
        <w:rPr>
          <w:spacing w:val="17"/>
        </w:rPr>
        <w:t> </w:t>
      </w:r>
      <w:r>
        <w:rPr/>
        <w:t>适用</w:t>
        <w:tab/>
        <w:t>√</w:t>
      </w:r>
      <w:r>
        <w:rPr>
          <w:spacing w:val="-6"/>
        </w:rPr>
        <w:t> </w:t>
      </w:r>
      <w:r>
        <w:rPr/>
        <w:t>不适用(公司报告期不存在非经营性关联债权债务往来，</w:t>
      </w:r>
      <w:r>
        <w:rPr>
          <w:w w:val="100"/>
        </w:rPr>
        <w:t> </w:t>
      </w:r>
      <w:r>
        <w:rPr/>
        <w:t>不存在关联债权债务往来)。</w:t>
      </w:r>
    </w:p>
    <w:p>
      <w:pPr>
        <w:pStyle w:val="BodyText"/>
        <w:tabs>
          <w:tab w:pos="4070" w:val="left" w:leader="none"/>
        </w:tabs>
        <w:spacing w:line="273" w:lineRule="auto" w:before="164"/>
        <w:ind w:left="813" w:right="450"/>
        <w:jc w:val="left"/>
      </w:pPr>
      <w:r>
        <w:rPr/>
        <w:t>五、其他重大关联交易：√</w:t>
      </w:r>
      <w:r>
        <w:rPr>
          <w:spacing w:val="-2"/>
        </w:rPr>
        <w:t> </w:t>
      </w:r>
      <w:r>
        <w:rPr/>
        <w:t>适用</w:t>
        <w:tab/>
        <w:t>□</w:t>
      </w:r>
      <w:r>
        <w:rPr>
          <w:spacing w:val="1"/>
        </w:rPr>
        <w:t> </w:t>
      </w:r>
      <w:r>
        <w:rPr/>
        <w:t>不适用</w:t>
      </w:r>
      <w:r>
        <w:rPr>
          <w:w w:val="100"/>
        </w:rPr>
        <w:t> </w:t>
      </w:r>
      <w:r>
        <w:rPr/>
        <w:t>报告期内全资子公司长实通信向长实建设以现金方式代收通信网络工程建设款</w:t>
      </w:r>
      <w:r>
        <w:rPr>
          <w:spacing w:val="-23"/>
        </w:rPr>
        <w:t> </w:t>
      </w:r>
      <w:r>
        <w:rPr/>
        <w:t>64,251,669.94</w:t>
      </w:r>
    </w:p>
    <w:p>
      <w:pPr>
        <w:pStyle w:val="BodyText"/>
        <w:spacing w:line="273" w:lineRule="auto" w:before="8"/>
        <w:ind w:left="393" w:right="342"/>
        <w:jc w:val="left"/>
      </w:pPr>
      <w:r>
        <w:rPr>
          <w:spacing w:val="-5"/>
        </w:rPr>
        <w:t>元，代付通信网络工程建设款</w:t>
      </w:r>
      <w:r>
        <w:rPr>
          <w:spacing w:val="-28"/>
        </w:rPr>
        <w:t> </w:t>
      </w:r>
      <w:r>
        <w:rPr/>
        <w:t>77,334,482.73</w:t>
      </w:r>
      <w:r>
        <w:rPr>
          <w:spacing w:val="-31"/>
        </w:rPr>
        <w:t> </w:t>
      </w:r>
      <w:r>
        <w:rPr>
          <w:spacing w:val="-5"/>
        </w:rPr>
        <w:t>元，有关代收代付情况可查阅本年报本章第七节“二、</w:t>
      </w:r>
      <w:r>
        <w:rPr>
          <w:spacing w:val="-95"/>
        </w:rPr>
        <w:t> </w:t>
      </w:r>
      <w:r>
        <w:rPr>
          <w:spacing w:val="-95"/>
        </w:rPr>
      </w:r>
      <w:r>
        <w:rPr/>
        <w:t>子公司重大事项”的相关内容。该事项是公司 2015</w:t>
      </w:r>
      <w:r>
        <w:rPr>
          <w:spacing w:val="-23"/>
        </w:rPr>
        <w:t> </w:t>
      </w:r>
      <w:r>
        <w:rPr/>
        <w:t>年重大资产收购的标的资产长实通信在被收购</w:t>
      </w:r>
      <w:r>
        <w:rPr>
          <w:w w:val="100"/>
        </w:rPr>
        <w:t> </w:t>
      </w:r>
      <w:r>
        <w:rPr/>
        <w:t>之前分立时形成。</w:t>
      </w:r>
    </w:p>
    <w:p>
      <w:pPr>
        <w:pStyle w:val="BodyText"/>
        <w:spacing w:line="273" w:lineRule="auto"/>
        <w:ind w:left="393" w:right="450" w:firstLine="420"/>
        <w:jc w:val="both"/>
      </w:pPr>
      <w:r>
        <w:rPr/>
        <w:t>公司 2015</w:t>
      </w:r>
      <w:r>
        <w:rPr>
          <w:spacing w:val="-22"/>
        </w:rPr>
        <w:t> </w:t>
      </w:r>
      <w:r>
        <w:rPr/>
        <w:t>年重大资产收购时长实通信的实际控制人是邹军，收购后邹军担任长实通信的董事</w:t>
      </w:r>
      <w:r>
        <w:rPr>
          <w:w w:val="100"/>
        </w:rPr>
        <w:t> </w:t>
      </w:r>
      <w:r>
        <w:rPr>
          <w:spacing w:val="-2"/>
        </w:rPr>
        <w:t>长且是长实建设的实际控制人，邹军兄弟邹辉是长实建设的法定代表人，因此，长实通信向长实建</w:t>
      </w:r>
      <w:r>
        <w:rPr>
          <w:spacing w:val="-47"/>
        </w:rPr>
        <w:t> </w:t>
      </w:r>
      <w:r>
        <w:rPr>
          <w:spacing w:val="-47"/>
        </w:rPr>
      </w:r>
      <w:r>
        <w:rPr>
          <w:spacing w:val="-2"/>
        </w:rPr>
        <w:t>设代收代付通信网络工程建设款视为关联交易。有关交易情况见本报告本章第七节“二、公司子公</w:t>
      </w:r>
      <w:r>
        <w:rPr>
          <w:spacing w:val="-42"/>
        </w:rPr>
        <w:t> </w:t>
      </w:r>
      <w:r>
        <w:rPr>
          <w:spacing w:val="-42"/>
        </w:rPr>
      </w:r>
      <w:r>
        <w:rPr/>
        <w:t>司重大事项”的内容。</w:t>
      </w:r>
    </w:p>
    <w:p>
      <w:pPr>
        <w:pStyle w:val="BodyText"/>
        <w:spacing w:line="240" w:lineRule="auto"/>
        <w:ind w:left="813" w:right="1174"/>
        <w:jc w:val="left"/>
      </w:pPr>
      <w:r>
        <w:rPr/>
        <w:t>有关上述代收代付临时报告查询索引</w:t>
      </w: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238"/>
        <w:gridCol w:w="1702"/>
        <w:gridCol w:w="1699"/>
      </w:tblGrid>
      <w:tr>
        <w:trPr>
          <w:trHeight w:val="322"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临时报告名称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临时报告披露日期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临时报告披露网站</w:t>
            </w:r>
          </w:p>
        </w:tc>
      </w:tr>
      <w:tr>
        <w:trPr>
          <w:trHeight w:val="478"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公司重大资产购买暨关联交易报告书(草案)——相关内容见第四章交易标的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情况“一、(二)、3、原长实通信分立的情况说明”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2015-05-09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20"/>
          <w:szCs w:val="20"/>
        </w:rPr>
      </w:pPr>
    </w:p>
    <w:p>
      <w:pPr>
        <w:spacing w:before="36"/>
        <w:ind w:left="3372" w:right="1174" w:firstLine="0"/>
        <w:jc w:val="left"/>
        <w:rPr>
          <w:rFonts w:ascii="宋体" w:hAnsi="宋体" w:cs="宋体" w:eastAsia="宋体" w:hint="default"/>
          <w:sz w:val="21"/>
          <w:szCs w:val="21"/>
        </w:rPr>
      </w:pPr>
      <w:r>
        <w:rPr>
          <w:rFonts w:ascii="宋体" w:hAnsi="宋体" w:cs="宋体" w:eastAsia="宋体" w:hint="default"/>
          <w:b/>
          <w:bCs/>
          <w:sz w:val="21"/>
          <w:szCs w:val="21"/>
        </w:rPr>
        <w:t>第五节</w:t>
      </w:r>
      <w:r>
        <w:rPr>
          <w:rFonts w:ascii="宋体" w:hAnsi="宋体" w:cs="宋体" w:eastAsia="宋体" w:hint="default"/>
          <w:b/>
          <w:bCs/>
          <w:spacing w:val="-2"/>
          <w:sz w:val="21"/>
          <w:szCs w:val="21"/>
        </w:rPr>
        <w:t> </w:t>
      </w:r>
      <w:r>
        <w:rPr>
          <w:rFonts w:ascii="宋体" w:hAnsi="宋体" w:cs="宋体" w:eastAsia="宋体" w:hint="default"/>
          <w:b/>
          <w:bCs/>
          <w:sz w:val="21"/>
          <w:szCs w:val="21"/>
        </w:rPr>
        <w:t>合同及其履行情况等事项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26" w:lineRule="auto" w:before="0"/>
        <w:ind w:left="813" w:right="2641"/>
        <w:jc w:val="left"/>
      </w:pPr>
      <w:r>
        <w:rPr/>
        <w:t>一、托管、承包、租赁事项</w:t>
      </w:r>
      <w:r>
        <w:rPr>
          <w:w w:val="100"/>
        </w:rPr>
        <w:t> </w:t>
      </w:r>
      <w:r>
        <w:rPr>
          <w:spacing w:val="-2"/>
        </w:rPr>
        <w:t>公司报告期不存在托管、承包、租赁情况。</w:t>
      </w:r>
    </w:p>
    <w:p>
      <w:pPr>
        <w:pStyle w:val="BodyText"/>
        <w:spacing w:line="326" w:lineRule="auto" w:before="117"/>
        <w:ind w:left="813" w:right="1174"/>
        <w:jc w:val="left"/>
      </w:pPr>
      <w:r>
        <w:rPr/>
        <w:t>二、担保合同</w:t>
      </w:r>
      <w:r>
        <w:rPr>
          <w:w w:val="100"/>
        </w:rPr>
        <w:t> </w:t>
      </w:r>
      <w:r>
        <w:rPr>
          <w:spacing w:val="-2"/>
        </w:rPr>
        <w:t>报告期内履行的及尚未履行完毕的担保合同为下列公司对全资子公司的担保：</w:t>
      </w:r>
    </w:p>
    <w:p>
      <w:pPr>
        <w:pStyle w:val="BodyText"/>
        <w:spacing w:line="273" w:lineRule="auto" w:before="24"/>
        <w:ind w:left="393" w:right="450" w:firstLine="420"/>
        <w:jc w:val="both"/>
      </w:pPr>
      <w:r>
        <w:rPr/>
        <w:t>1、公司为长实通信流动资金贷款，向债权人招商银行股份有限公司广州科技园支行提供连带</w:t>
      </w:r>
      <w:r>
        <w:rPr>
          <w:w w:val="100"/>
        </w:rPr>
        <w:t> </w:t>
      </w:r>
      <w:r>
        <w:rPr/>
        <w:t>责任保证，担保金额 3,000.00</w:t>
      </w:r>
      <w:r>
        <w:rPr>
          <w:spacing w:val="-23"/>
        </w:rPr>
        <w:t> </w:t>
      </w:r>
      <w:r>
        <w:rPr/>
        <w:t>万元，担保期限：自担保书生效之日起至担保项下每笔贷款或其他</w:t>
      </w:r>
      <w:r>
        <w:rPr>
          <w:w w:val="100"/>
        </w:rPr>
        <w:t> </w:t>
      </w:r>
      <w:r>
        <w:rPr>
          <w:spacing w:val="-2"/>
        </w:rPr>
        <w:t>融资或债权人受让的应收账款债权的到期日或每笔垫款的垫款日另加两年。该项担保经过公司董事</w:t>
      </w:r>
      <w:r>
        <w:rPr>
          <w:spacing w:val="-43"/>
        </w:rPr>
        <w:t> </w:t>
      </w:r>
      <w:r>
        <w:rPr>
          <w:spacing w:val="-43"/>
        </w:rPr>
      </w:r>
      <w:r>
        <w:rPr/>
        <w:t>会</w:t>
      </w:r>
      <w:r>
        <w:rPr>
          <w:spacing w:val="-57"/>
        </w:rPr>
        <w:t> </w:t>
      </w:r>
      <w:r>
        <w:rPr/>
        <w:t>2015</w:t>
      </w:r>
      <w:r>
        <w:rPr>
          <w:spacing w:val="-57"/>
        </w:rPr>
        <w:t> </w:t>
      </w:r>
      <w:r>
        <w:rPr/>
        <w:t>年第十六次会议审议，并取得出席会议三分之二以上的董事同意。</w:t>
      </w:r>
    </w:p>
    <w:p>
      <w:pPr>
        <w:pStyle w:val="BodyText"/>
        <w:spacing w:line="273" w:lineRule="auto" w:before="70"/>
        <w:ind w:left="393" w:right="450" w:firstLine="420"/>
        <w:jc w:val="both"/>
      </w:pPr>
      <w:r>
        <w:rPr/>
        <w:t>2、经公司董事会</w:t>
      </w:r>
      <w:r>
        <w:rPr>
          <w:spacing w:val="-63"/>
        </w:rPr>
        <w:t> </w:t>
      </w:r>
      <w:r>
        <w:rPr/>
        <w:t>2016</w:t>
      </w:r>
      <w:r>
        <w:rPr>
          <w:spacing w:val="-65"/>
        </w:rPr>
        <w:t> </w:t>
      </w:r>
      <w:r>
        <w:rPr/>
        <w:t>年第二次会议审议通过，公司为长实通信流动资金贷款，向债权人中国</w:t>
      </w:r>
      <w:r>
        <w:rPr>
          <w:w w:val="100"/>
        </w:rPr>
        <w:t> </w:t>
      </w:r>
      <w:r>
        <w:rPr/>
        <w:t>工商银行股份有限公司清远分行提供连带责任保证，担保金额在 7,900.00</w:t>
      </w:r>
      <w:r>
        <w:rPr>
          <w:spacing w:val="-22"/>
        </w:rPr>
        <w:t> </w:t>
      </w:r>
      <w:r>
        <w:rPr/>
        <w:t>万元的最高余额内的担</w:t>
      </w:r>
      <w:r>
        <w:rPr>
          <w:w w:val="100"/>
        </w:rPr>
        <w:t> </w:t>
      </w:r>
      <w:r>
        <w:rPr/>
        <w:t>保于报告期解除，无逾期。</w:t>
      </w:r>
    </w:p>
    <w:p>
      <w:pPr>
        <w:pStyle w:val="BodyText"/>
        <w:spacing w:line="271" w:lineRule="auto" w:before="70"/>
        <w:ind w:left="393" w:right="450" w:firstLine="420"/>
        <w:jc w:val="both"/>
      </w:pPr>
      <w:r>
        <w:rPr/>
        <w:t>3、经公司董事会</w:t>
      </w:r>
      <w:r>
        <w:rPr>
          <w:spacing w:val="-63"/>
        </w:rPr>
        <w:t> </w:t>
      </w:r>
      <w:r>
        <w:rPr/>
        <w:t>2017</w:t>
      </w:r>
      <w:r>
        <w:rPr>
          <w:spacing w:val="-65"/>
        </w:rPr>
        <w:t> </w:t>
      </w:r>
      <w:r>
        <w:rPr/>
        <w:t>年第二次会议审议通过，公司为长实通信流动资金贷款，向债权人中国</w:t>
      </w:r>
      <w:r>
        <w:rPr>
          <w:w w:val="100"/>
        </w:rPr>
        <w:t> </w:t>
      </w:r>
      <w:r>
        <w:rPr/>
        <w:t>工商银行股份有限公司清远分行提供连带责任保证，担保金额在 8,000.00</w:t>
      </w:r>
      <w:r>
        <w:rPr>
          <w:spacing w:val="-22"/>
        </w:rPr>
        <w:t> </w:t>
      </w:r>
      <w:r>
        <w:rPr/>
        <w:t>万元的最高余额内，担</w:t>
      </w:r>
    </w:p>
    <w:p>
      <w:pPr>
        <w:spacing w:after="0" w:line="271" w:lineRule="auto"/>
        <w:jc w:val="both"/>
        <w:sectPr>
          <w:footerReference w:type="default" r:id="rId32"/>
          <w:pgSz w:w="11910" w:h="16840"/>
          <w:pgMar w:footer="1000" w:header="884" w:top="1140" w:bottom="1200" w:left="1080" w:right="960"/>
        </w:sectPr>
      </w:pPr>
    </w:p>
    <w:p>
      <w:pPr>
        <w:pStyle w:val="BodyText"/>
        <w:spacing w:line="326" w:lineRule="auto" w:before="131"/>
        <w:ind w:left="813" w:right="342" w:hanging="421"/>
        <w:jc w:val="left"/>
      </w:pPr>
      <w:r>
        <w:rPr/>
        <w:t>保期限：自担保合同生效之日起至</w:t>
      </w:r>
      <w:r>
        <w:rPr>
          <w:spacing w:val="-53"/>
        </w:rPr>
        <w:t> </w:t>
      </w:r>
      <w:r>
        <w:rPr/>
        <w:t>2019</w:t>
      </w:r>
      <w:r>
        <w:rPr>
          <w:spacing w:val="-55"/>
        </w:rPr>
        <w:t> </w:t>
      </w:r>
      <w:r>
        <w:rPr/>
        <w:t>年</w:t>
      </w:r>
      <w:r>
        <w:rPr>
          <w:spacing w:val="-53"/>
        </w:rPr>
        <w:t> </w:t>
      </w:r>
      <w:r>
        <w:rPr/>
        <w:t>3</w:t>
      </w:r>
      <w:r>
        <w:rPr>
          <w:spacing w:val="-55"/>
        </w:rPr>
        <w:t> </w:t>
      </w:r>
      <w:r>
        <w:rPr/>
        <w:t>月</w:t>
      </w:r>
      <w:r>
        <w:rPr>
          <w:spacing w:val="-53"/>
        </w:rPr>
        <w:t> </w:t>
      </w:r>
      <w:r>
        <w:rPr/>
        <w:t>2</w:t>
      </w:r>
      <w:r>
        <w:rPr>
          <w:spacing w:val="-55"/>
        </w:rPr>
        <w:t> </w:t>
      </w:r>
      <w:r>
        <w:rPr/>
        <w:t>日期间，合同项下借款期限届满之次日起两年。</w:t>
      </w:r>
      <w:r>
        <w:rPr>
          <w:w w:val="100"/>
        </w:rPr>
        <w:t> </w:t>
      </w:r>
      <w:r>
        <w:rPr/>
        <w:t>4、公司为长实通信流动资金贷款，向债权人招商银行股份有限公司广州科技园支行提供连带</w:t>
      </w:r>
    </w:p>
    <w:p>
      <w:pPr>
        <w:pStyle w:val="BodyText"/>
        <w:spacing w:line="236" w:lineRule="exact" w:before="0"/>
        <w:ind w:left="393" w:right="0"/>
        <w:jc w:val="left"/>
      </w:pPr>
      <w:r>
        <w:rPr>
          <w:spacing w:val="-6"/>
        </w:rPr>
        <w:t>责任保证，担保金额</w:t>
      </w:r>
      <w:r>
        <w:rPr>
          <w:spacing w:val="-49"/>
        </w:rPr>
        <w:t> </w:t>
      </w:r>
      <w:r>
        <w:rPr/>
        <w:t>5,000.00</w:t>
      </w:r>
      <w:r>
        <w:rPr>
          <w:spacing w:val="-47"/>
        </w:rPr>
        <w:t> </w:t>
      </w:r>
      <w:r>
        <w:rPr>
          <w:spacing w:val="-6"/>
        </w:rPr>
        <w:t>万元，保证责任期间：在担保书生效之日起至</w:t>
      </w:r>
      <w:r>
        <w:rPr>
          <w:spacing w:val="-47"/>
        </w:rPr>
        <w:t> </w:t>
      </w:r>
      <w:r>
        <w:rPr/>
        <w:t>2019</w:t>
      </w:r>
      <w:r>
        <w:rPr>
          <w:spacing w:val="-47"/>
        </w:rPr>
        <w:t> </w:t>
      </w:r>
      <w:r>
        <w:rPr/>
        <w:t>年</w:t>
      </w:r>
      <w:r>
        <w:rPr>
          <w:spacing w:val="-49"/>
        </w:rPr>
        <w:t> </w:t>
      </w:r>
      <w:r>
        <w:rPr/>
        <w:t>3</w:t>
      </w:r>
      <w:r>
        <w:rPr>
          <w:spacing w:val="-47"/>
        </w:rPr>
        <w:t> </w:t>
      </w:r>
      <w:r>
        <w:rPr/>
        <w:t>月</w:t>
      </w:r>
      <w:r>
        <w:rPr>
          <w:spacing w:val="-49"/>
        </w:rPr>
        <w:t> </w:t>
      </w:r>
      <w:r>
        <w:rPr/>
        <w:t>2</w:t>
      </w:r>
      <w:r>
        <w:rPr>
          <w:spacing w:val="-47"/>
        </w:rPr>
        <w:t> </w:t>
      </w:r>
      <w:r>
        <w:rPr/>
        <w:t>日期间，</w:t>
      </w:r>
    </w:p>
    <w:p>
      <w:pPr>
        <w:pStyle w:val="BodyText"/>
        <w:spacing w:line="273" w:lineRule="auto" w:before="37"/>
        <w:ind w:left="393" w:right="347"/>
        <w:jc w:val="left"/>
      </w:pPr>
      <w:r>
        <w:rPr>
          <w:spacing w:val="2"/>
        </w:rPr>
        <w:t>担保项下每笔贷款或其他融资或债权人受让的应收账款债权的到期日或每笔垫款的垫款日另加两</w:t>
      </w:r>
      <w:r>
        <w:rPr>
          <w:spacing w:val="-20"/>
        </w:rPr>
        <w:t> </w:t>
      </w:r>
      <w:r>
        <w:rPr>
          <w:spacing w:val="-20"/>
        </w:rPr>
      </w:r>
      <w:r>
        <w:rPr>
          <w:spacing w:val="-2"/>
        </w:rPr>
        <w:t>年。该项担保经过公司董事会</w:t>
      </w:r>
      <w:r>
        <w:rPr/>
        <w:t> </w:t>
      </w:r>
      <w:r>
        <w:rPr>
          <w:spacing w:val="-1"/>
        </w:rPr>
        <w:t>2017</w:t>
      </w:r>
      <w:r>
        <w:rPr>
          <w:spacing w:val="-49"/>
        </w:rPr>
        <w:t> </w:t>
      </w:r>
      <w:r>
        <w:rPr>
          <w:spacing w:val="-2"/>
        </w:rPr>
        <w:t>年第二次会议审议，并取得出席会议三分之二以上的董事同意。</w:t>
      </w:r>
    </w:p>
    <w:p>
      <w:pPr>
        <w:pStyle w:val="BodyText"/>
        <w:spacing w:line="273" w:lineRule="auto" w:before="70"/>
        <w:ind w:left="393" w:right="342" w:firstLine="420"/>
        <w:jc w:val="left"/>
      </w:pPr>
      <w:r>
        <w:rPr/>
        <w:t>5、公司为长实通信流动资金贷款，向债权人中国建设银行股份有限公司清远市分行提供连带</w:t>
      </w:r>
      <w:r>
        <w:rPr>
          <w:w w:val="100"/>
        </w:rPr>
        <w:t> </w:t>
      </w:r>
      <w:r>
        <w:rPr/>
        <w:t>责任保证，担保金额</w:t>
      </w:r>
      <w:r>
        <w:rPr>
          <w:spacing w:val="-49"/>
        </w:rPr>
        <w:t> </w:t>
      </w:r>
      <w:r>
        <w:rPr/>
        <w:t>10,000.00</w:t>
      </w:r>
      <w:r>
        <w:rPr>
          <w:spacing w:val="-51"/>
        </w:rPr>
        <w:t> </w:t>
      </w:r>
      <w:r>
        <w:rPr>
          <w:spacing w:val="-3"/>
        </w:rPr>
        <w:t>万元，保证期间：在保证合同生效之日起至</w:t>
      </w:r>
      <w:r>
        <w:rPr>
          <w:spacing w:val="-51"/>
        </w:rPr>
        <w:t> </w:t>
      </w:r>
      <w:r>
        <w:rPr/>
        <w:t>2019</w:t>
      </w:r>
      <w:r>
        <w:rPr>
          <w:spacing w:val="-51"/>
        </w:rPr>
        <w:t> </w:t>
      </w:r>
      <w:r>
        <w:rPr/>
        <w:t>年</w:t>
      </w:r>
      <w:r>
        <w:rPr>
          <w:spacing w:val="-49"/>
        </w:rPr>
        <w:t> </w:t>
      </w:r>
      <w:r>
        <w:rPr/>
        <w:t>3</w:t>
      </w:r>
      <w:r>
        <w:rPr>
          <w:spacing w:val="-51"/>
        </w:rPr>
        <w:t> </w:t>
      </w:r>
      <w:r>
        <w:rPr/>
        <w:t>月</w:t>
      </w:r>
      <w:r>
        <w:rPr>
          <w:spacing w:val="-49"/>
        </w:rPr>
        <w:t> </w:t>
      </w:r>
      <w:r>
        <w:rPr/>
        <w:t>2</w:t>
      </w:r>
      <w:r>
        <w:rPr>
          <w:spacing w:val="-51"/>
        </w:rPr>
        <w:t> </w:t>
      </w:r>
      <w:r>
        <w:rPr/>
        <w:t>日期间，</w:t>
      </w:r>
      <w:r>
        <w:rPr>
          <w:spacing w:val="-103"/>
        </w:rPr>
        <w:t> </w:t>
      </w:r>
      <w:r>
        <w:rPr>
          <w:spacing w:val="-103"/>
        </w:rPr>
      </w:r>
      <w:r>
        <w:rPr/>
        <w:t>保证合同项下借款期限届满之次日起两年。该项担保经过公司董事会 2017</w:t>
      </w:r>
      <w:r>
        <w:rPr>
          <w:spacing w:val="-22"/>
        </w:rPr>
        <w:t> </w:t>
      </w:r>
      <w:r>
        <w:rPr/>
        <w:t>年第二次会议审议，并</w:t>
      </w:r>
      <w:r>
        <w:rPr>
          <w:w w:val="100"/>
        </w:rPr>
        <w:t> </w:t>
      </w:r>
      <w:r>
        <w:rPr/>
        <w:t>取得出席会议三分之二以上的董事同意。</w:t>
      </w:r>
    </w:p>
    <w:p>
      <w:pPr>
        <w:pStyle w:val="BodyText"/>
        <w:spacing w:line="273" w:lineRule="auto" w:before="70"/>
        <w:ind w:left="393" w:right="450" w:firstLine="420"/>
        <w:jc w:val="both"/>
      </w:pPr>
      <w:r>
        <w:rPr/>
        <w:t>6、公司为长实通信流动资金贷款，向债权人中国工商银行股份有限公司清远分行提供连带责</w:t>
      </w:r>
      <w:r>
        <w:rPr>
          <w:w w:val="100"/>
        </w:rPr>
        <w:t> </w:t>
      </w:r>
      <w:r>
        <w:rPr/>
        <w:t>任保证，担保金额</w:t>
      </w:r>
      <w:r>
        <w:rPr>
          <w:spacing w:val="-50"/>
        </w:rPr>
        <w:t> </w:t>
      </w:r>
      <w:r>
        <w:rPr/>
        <w:t>20,000.00</w:t>
      </w:r>
      <w:r>
        <w:rPr>
          <w:spacing w:val="-50"/>
        </w:rPr>
        <w:t> </w:t>
      </w:r>
      <w:r>
        <w:rPr>
          <w:spacing w:val="-3"/>
        </w:rPr>
        <w:t>万元，保证期间：在合同生效之日起至</w:t>
      </w:r>
      <w:r>
        <w:rPr>
          <w:spacing w:val="-50"/>
        </w:rPr>
        <w:t> </w:t>
      </w:r>
      <w:r>
        <w:rPr/>
        <w:t>2020</w:t>
      </w:r>
      <w:r>
        <w:rPr>
          <w:spacing w:val="-52"/>
        </w:rPr>
        <w:t> </w:t>
      </w:r>
      <w:r>
        <w:rPr/>
        <w:t>年</w:t>
      </w:r>
      <w:r>
        <w:rPr>
          <w:spacing w:val="-50"/>
        </w:rPr>
        <w:t> </w:t>
      </w:r>
      <w:r>
        <w:rPr/>
        <w:t>11</w:t>
      </w:r>
      <w:r>
        <w:rPr>
          <w:spacing w:val="-52"/>
        </w:rPr>
        <w:t> </w:t>
      </w:r>
      <w:r>
        <w:rPr/>
        <w:t>月</w:t>
      </w:r>
      <w:r>
        <w:rPr>
          <w:spacing w:val="-50"/>
        </w:rPr>
        <w:t> </w:t>
      </w:r>
      <w:r>
        <w:rPr/>
        <w:t>7</w:t>
      </w:r>
      <w:r>
        <w:rPr>
          <w:spacing w:val="-52"/>
        </w:rPr>
        <w:t> </w:t>
      </w:r>
      <w:r>
        <w:rPr/>
        <w:t>日期间，合同</w:t>
      </w:r>
      <w:r>
        <w:rPr>
          <w:w w:val="100"/>
        </w:rPr>
        <w:t> </w:t>
      </w:r>
      <w:r>
        <w:rPr>
          <w:spacing w:val="-2"/>
        </w:rPr>
        <w:t>项下借款期限届满之次日起两年或自甲方支付信用证项下款项之次日起两年。该项担保经过公司董</w:t>
      </w:r>
      <w:r>
        <w:rPr>
          <w:spacing w:val="-42"/>
        </w:rPr>
        <w:t> </w:t>
      </w:r>
      <w:r>
        <w:rPr>
          <w:spacing w:val="-42"/>
        </w:rPr>
      </w:r>
      <w:r>
        <w:rPr/>
        <w:t>事会</w:t>
      </w:r>
      <w:r>
        <w:rPr>
          <w:spacing w:val="-55"/>
        </w:rPr>
        <w:t> </w:t>
      </w:r>
      <w:r>
        <w:rPr/>
        <w:t>2017</w:t>
      </w:r>
      <w:r>
        <w:rPr>
          <w:spacing w:val="-57"/>
        </w:rPr>
        <w:t> </w:t>
      </w:r>
      <w:r>
        <w:rPr/>
        <w:t>年第十四次会议审议，并取得出席会议三分之二以上的董事同意。</w:t>
      </w:r>
    </w:p>
    <w:p>
      <w:pPr>
        <w:pStyle w:val="BodyText"/>
        <w:spacing w:line="273" w:lineRule="auto" w:before="70"/>
        <w:ind w:left="393" w:right="450" w:firstLine="420"/>
        <w:jc w:val="both"/>
      </w:pPr>
      <w:r>
        <w:rPr>
          <w:spacing w:val="-2"/>
        </w:rPr>
        <w:t>除上述公司对子公司的担保外，公司及其子公司没有对外担保、没有子公司与子公司之间的担</w:t>
      </w:r>
      <w:r>
        <w:rPr>
          <w:w w:val="100"/>
        </w:rPr>
        <w:t> </w:t>
      </w:r>
      <w:r>
        <w:rPr>
          <w:spacing w:val="-2"/>
        </w:rPr>
        <w:t>保，无逾期担保，无为股东、实际控制人及其关联方提供的担保，无直接或间接为资产负债率超过</w:t>
      </w:r>
      <w:r>
        <w:rPr>
          <w:spacing w:val="-48"/>
        </w:rPr>
        <w:t> </w:t>
      </w:r>
      <w:r>
        <w:rPr>
          <w:spacing w:val="-48"/>
        </w:rPr>
      </w:r>
      <w:r>
        <w:rPr>
          <w:spacing w:val="-3"/>
        </w:rPr>
        <w:t>70%的对象提供担保，无为本公司持股 50%以下的其他关联方、其他法人、任何非法人单位或个人提</w:t>
      </w:r>
      <w:r>
        <w:rPr>
          <w:spacing w:val="-94"/>
        </w:rPr>
        <w:t> </w:t>
      </w:r>
      <w:r>
        <w:rPr>
          <w:spacing w:val="-94"/>
        </w:rPr>
      </w:r>
      <w:r>
        <w:rPr/>
        <w:t>供担保，无其他违规担保。截至报告期末，公司累计担保额 5,228.11</w:t>
      </w:r>
      <w:r>
        <w:rPr>
          <w:spacing w:val="-23"/>
        </w:rPr>
        <w:t> </w:t>
      </w:r>
      <w:r>
        <w:rPr/>
        <w:t>万元，占公司最近一期经审</w:t>
      </w:r>
      <w:r>
        <w:rPr>
          <w:w w:val="100"/>
        </w:rPr>
        <w:t> </w:t>
      </w:r>
      <w:r>
        <w:rPr/>
        <w:t>计净资产的</w:t>
      </w:r>
      <w:r>
        <w:rPr>
          <w:spacing w:val="-53"/>
        </w:rPr>
        <w:t> </w:t>
      </w:r>
      <w:r>
        <w:rPr/>
        <w:t>1.96%。</w:t>
      </w:r>
    </w:p>
    <w:p>
      <w:pPr>
        <w:pStyle w:val="BodyText"/>
        <w:spacing w:line="240" w:lineRule="auto" w:before="70"/>
        <w:ind w:left="813" w:right="1174"/>
        <w:jc w:val="left"/>
      </w:pPr>
      <w:r>
        <w:rPr/>
        <w:t>7、担保分项列示(单位：万元)</w:t>
      </w:r>
    </w:p>
    <w:p>
      <w:pPr>
        <w:spacing w:line="240" w:lineRule="auto" w:before="0"/>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77"/>
        <w:gridCol w:w="1274"/>
        <w:gridCol w:w="852"/>
        <w:gridCol w:w="142"/>
        <w:gridCol w:w="142"/>
        <w:gridCol w:w="139"/>
        <w:gridCol w:w="994"/>
        <w:gridCol w:w="142"/>
        <w:gridCol w:w="142"/>
        <w:gridCol w:w="425"/>
        <w:gridCol w:w="569"/>
        <w:gridCol w:w="283"/>
        <w:gridCol w:w="566"/>
        <w:gridCol w:w="850"/>
        <w:gridCol w:w="144"/>
        <w:gridCol w:w="425"/>
        <w:gridCol w:w="142"/>
        <w:gridCol w:w="142"/>
        <w:gridCol w:w="991"/>
      </w:tblGrid>
      <w:tr>
        <w:trPr>
          <w:trHeight w:val="324" w:hRule="exact"/>
        </w:trPr>
        <w:tc>
          <w:tcPr>
            <w:tcW w:w="9638"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60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24" w:right="158"/>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24" w:right="157"/>
              <w:jc w:val="left"/>
              <w:rPr>
                <w:rFonts w:ascii="宋体" w:hAnsi="宋体" w:cs="宋体" w:eastAsia="宋体" w:hint="default"/>
                <w:sz w:val="18"/>
                <w:szCs w:val="18"/>
              </w:rPr>
            </w:pPr>
            <w:r>
              <w:rPr>
                <w:rFonts w:ascii="宋体" w:hAnsi="宋体" w:cs="宋体" w:eastAsia="宋体" w:hint="default"/>
                <w:sz w:val="18"/>
                <w:szCs w:val="18"/>
              </w:rPr>
              <w:t>实际发生日期 (协议签署日)</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24" w:right="132"/>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24" w:right="96"/>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24" w:right="55"/>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c>
          <w:tcPr>
            <w:tcW w:w="8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r>
      <w:tr>
        <w:trPr>
          <w:trHeight w:val="324" w:hRule="exact"/>
        </w:trPr>
        <w:tc>
          <w:tcPr>
            <w:tcW w:w="3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报告期内审批的对外担保额度合计(A1)</w:t>
            </w:r>
          </w:p>
        </w:tc>
        <w:tc>
          <w:tcPr>
            <w:tcW w:w="14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0.00</w:t>
            </w:r>
          </w:p>
        </w:tc>
        <w:tc>
          <w:tcPr>
            <w:tcW w:w="36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报告期内对外担保实际发生额合计(A2)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1" w:right="0"/>
              <w:jc w:val="left"/>
              <w:rPr>
                <w:rFonts w:ascii="宋体" w:hAnsi="宋体" w:cs="宋体" w:eastAsia="宋体" w:hint="default"/>
                <w:sz w:val="18"/>
                <w:szCs w:val="18"/>
              </w:rPr>
            </w:pPr>
            <w:r>
              <w:rPr>
                <w:rFonts w:ascii="宋体"/>
                <w:sz w:val="18"/>
              </w:rPr>
              <w:t>0.00</w:t>
            </w:r>
          </w:p>
        </w:tc>
      </w:tr>
      <w:tr>
        <w:trPr>
          <w:trHeight w:val="322" w:hRule="exact"/>
        </w:trPr>
        <w:tc>
          <w:tcPr>
            <w:tcW w:w="3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报告期末已审批的对外担保额度合计(A3)</w:t>
            </w:r>
          </w:p>
        </w:tc>
        <w:tc>
          <w:tcPr>
            <w:tcW w:w="14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0.00</w:t>
            </w:r>
          </w:p>
        </w:tc>
        <w:tc>
          <w:tcPr>
            <w:tcW w:w="36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报告期末实际对外担保余额合计(A4)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sz w:val="18"/>
              </w:rPr>
              <w:t>0.00</w:t>
            </w:r>
          </w:p>
        </w:tc>
      </w:tr>
      <w:tr>
        <w:trPr>
          <w:trHeight w:val="322" w:hRule="exact"/>
        </w:trPr>
        <w:tc>
          <w:tcPr>
            <w:tcW w:w="9638"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是否为关联</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方担保</w:t>
            </w:r>
          </w:p>
        </w:tc>
      </w:tr>
      <w:tr>
        <w:trPr>
          <w:trHeight w:val="322"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21" w:right="163"/>
              <w:jc w:val="left"/>
              <w:rPr>
                <w:rFonts w:ascii="宋体" w:hAnsi="宋体" w:cs="宋体" w:eastAsia="宋体" w:hint="default"/>
                <w:sz w:val="18"/>
                <w:szCs w:val="18"/>
              </w:rPr>
            </w:pPr>
            <w:r>
              <w:rPr>
                <w:rFonts w:ascii="宋体" w:hAnsi="宋体" w:cs="宋体" w:eastAsia="宋体" w:hint="default"/>
                <w:sz w:val="18"/>
                <w:szCs w:val="18"/>
              </w:rPr>
              <w:t>广东长实通信 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2015-12-08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sz w:val="18"/>
              </w:rPr>
              <w:t>3,000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sz w:val="18"/>
              </w:rPr>
              <w:t>2015-12-07</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3" w:right="0"/>
              <w:jc w:val="left"/>
              <w:rPr>
                <w:rFonts w:ascii="宋体" w:hAnsi="宋体" w:cs="宋体" w:eastAsia="宋体" w:hint="default"/>
                <w:sz w:val="18"/>
                <w:szCs w:val="18"/>
              </w:rPr>
            </w:pPr>
            <w:r>
              <w:rPr>
                <w:rFonts w:ascii="宋体"/>
                <w:sz w:val="18"/>
              </w:rPr>
              <w:t>227.50</w:t>
            </w:r>
          </w:p>
        </w:tc>
        <w:tc>
          <w:tcPr>
            <w:tcW w:w="85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994"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60" w:right="0"/>
              <w:jc w:val="left"/>
              <w:rPr>
                <w:rFonts w:ascii="宋体" w:hAnsi="宋体" w:cs="宋体" w:eastAsia="宋体" w:hint="default"/>
                <w:sz w:val="18"/>
                <w:szCs w:val="18"/>
              </w:rPr>
            </w:pPr>
            <w:r>
              <w:rPr>
                <w:rFonts w:ascii="宋体" w:hAnsi="宋体" w:cs="宋体" w:eastAsia="宋体" w:hint="default"/>
                <w:sz w:val="18"/>
                <w:szCs w:val="18"/>
              </w:rPr>
              <w:t>贷款到期日</w:t>
            </w:r>
          </w:p>
          <w:p>
            <w:pPr>
              <w:pStyle w:val="TableParagraph"/>
              <w:spacing w:line="234" w:lineRule="exact"/>
              <w:ind w:left="420" w:right="0"/>
              <w:jc w:val="left"/>
              <w:rPr>
                <w:rFonts w:ascii="宋体" w:hAnsi="宋体" w:cs="宋体" w:eastAsia="宋体" w:hint="default"/>
                <w:sz w:val="18"/>
                <w:szCs w:val="18"/>
              </w:rPr>
            </w:pPr>
            <w:r>
              <w:rPr>
                <w:rFonts w:ascii="宋体" w:hAnsi="宋体" w:cs="宋体" w:eastAsia="宋体" w:hint="default"/>
                <w:sz w:val="18"/>
                <w:szCs w:val="18"/>
              </w:rPr>
              <w:t>后两年</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77"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2016-01-26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sz w:val="18"/>
              </w:rPr>
              <w:t>7,900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sz w:val="18"/>
              </w:rPr>
              <w:t>2016-01-25</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sz w:val="18"/>
              </w:rPr>
              <w:t>2,000.00</w:t>
            </w:r>
          </w:p>
        </w:tc>
        <w:tc>
          <w:tcPr>
            <w:tcW w:w="850" w:type="dxa"/>
            <w:gridSpan w:val="2"/>
            <w:vMerge/>
            <w:tcBorders>
              <w:left w:val="single" w:sz="4" w:space="0" w:color="000000"/>
              <w:right w:val="single" w:sz="4" w:space="0" w:color="000000"/>
            </w:tcBorders>
          </w:tcPr>
          <w:p>
            <w:pPr/>
          </w:p>
        </w:tc>
        <w:tc>
          <w:tcPr>
            <w:tcW w:w="994" w:type="dxa"/>
            <w:gridSpan w:val="2"/>
            <w:vMerge/>
            <w:tcBorders>
              <w:left w:val="single" w:sz="4" w:space="0" w:color="000000"/>
              <w:right w:val="single" w:sz="4" w:space="0" w:color="000000"/>
            </w:tcBorders>
          </w:tcPr>
          <w:p>
            <w:pP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991" w:type="dxa"/>
            <w:vMerge/>
            <w:tcBorders>
              <w:left w:val="single" w:sz="4" w:space="0" w:color="000000"/>
              <w:right w:val="single" w:sz="4" w:space="0" w:color="000000"/>
            </w:tcBorders>
          </w:tcPr>
          <w:p>
            <w:pPr/>
          </w:p>
        </w:tc>
      </w:tr>
      <w:tr>
        <w:trPr>
          <w:trHeight w:val="322" w:hRule="exact"/>
        </w:trPr>
        <w:tc>
          <w:tcPr>
            <w:tcW w:w="1277"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2017-03-04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sz w:val="18"/>
              </w:rPr>
              <w:t>8,000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sz w:val="18"/>
              </w:rPr>
              <w:t>2017-03-03</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sz w:val="18"/>
              </w:rPr>
              <w:t>3,495.46</w:t>
            </w:r>
          </w:p>
        </w:tc>
        <w:tc>
          <w:tcPr>
            <w:tcW w:w="850" w:type="dxa"/>
            <w:gridSpan w:val="2"/>
            <w:vMerge/>
            <w:tcBorders>
              <w:left w:val="single" w:sz="4" w:space="0" w:color="000000"/>
              <w:right w:val="single" w:sz="4" w:space="0" w:color="000000"/>
            </w:tcBorders>
          </w:tcPr>
          <w:p>
            <w:pPr/>
          </w:p>
        </w:tc>
        <w:tc>
          <w:tcPr>
            <w:tcW w:w="994" w:type="dxa"/>
            <w:gridSpan w:val="2"/>
            <w:vMerge/>
            <w:tcBorders>
              <w:left w:val="single" w:sz="4" w:space="0" w:color="000000"/>
              <w:right w:val="single" w:sz="4" w:space="0" w:color="000000"/>
            </w:tcBorders>
          </w:tcPr>
          <w:p>
            <w:pP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4" w:space="0" w:color="000000"/>
              <w:right w:val="single" w:sz="4" w:space="0" w:color="000000"/>
            </w:tcBorders>
          </w:tcPr>
          <w:p>
            <w:pPr/>
          </w:p>
        </w:tc>
      </w:tr>
      <w:tr>
        <w:trPr>
          <w:trHeight w:val="322" w:hRule="exact"/>
        </w:trPr>
        <w:tc>
          <w:tcPr>
            <w:tcW w:w="1277"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2017-03-04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0" w:right="0"/>
              <w:jc w:val="left"/>
              <w:rPr>
                <w:rFonts w:ascii="宋体" w:hAnsi="宋体" w:cs="宋体" w:eastAsia="宋体" w:hint="default"/>
                <w:sz w:val="18"/>
                <w:szCs w:val="18"/>
              </w:rPr>
            </w:pPr>
            <w:r>
              <w:rPr>
                <w:rFonts w:ascii="宋体"/>
                <w:sz w:val="18"/>
              </w:rPr>
              <w:t>10,000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sz w:val="18"/>
              </w:rPr>
              <w:t>2017-03-03</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sz w:val="18"/>
              </w:rPr>
              <w:t>2,346.16</w:t>
            </w:r>
          </w:p>
        </w:tc>
        <w:tc>
          <w:tcPr>
            <w:tcW w:w="850" w:type="dxa"/>
            <w:gridSpan w:val="2"/>
            <w:vMerge/>
            <w:tcBorders>
              <w:left w:val="single" w:sz="4" w:space="0" w:color="000000"/>
              <w:right w:val="single" w:sz="4" w:space="0" w:color="000000"/>
            </w:tcBorders>
          </w:tcPr>
          <w:p>
            <w:pPr/>
          </w:p>
        </w:tc>
        <w:tc>
          <w:tcPr>
            <w:tcW w:w="994" w:type="dxa"/>
            <w:gridSpan w:val="2"/>
            <w:vMerge/>
            <w:tcBorders>
              <w:left w:val="single" w:sz="4" w:space="0" w:color="000000"/>
              <w:right w:val="single" w:sz="4" w:space="0" w:color="000000"/>
            </w:tcBorders>
          </w:tcPr>
          <w:p>
            <w:pP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4" w:space="0" w:color="000000"/>
              <w:right w:val="single" w:sz="4" w:space="0" w:color="000000"/>
            </w:tcBorders>
          </w:tcPr>
          <w:p>
            <w:pPr/>
          </w:p>
        </w:tc>
      </w:tr>
      <w:tr>
        <w:trPr>
          <w:trHeight w:val="322" w:hRule="exact"/>
        </w:trPr>
        <w:tc>
          <w:tcPr>
            <w:tcW w:w="1277"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2017-03-04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sz w:val="18"/>
              </w:rPr>
              <w:t>5,000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sz w:val="18"/>
              </w:rPr>
              <w:t>2017-03-03</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sz w:val="18"/>
              </w:rPr>
              <w:t>2,063.00</w:t>
            </w:r>
          </w:p>
        </w:tc>
        <w:tc>
          <w:tcPr>
            <w:tcW w:w="850" w:type="dxa"/>
            <w:gridSpan w:val="2"/>
            <w:vMerge/>
            <w:tcBorders>
              <w:left w:val="single" w:sz="4" w:space="0" w:color="000000"/>
              <w:right w:val="single" w:sz="4" w:space="0" w:color="000000"/>
            </w:tcBorders>
          </w:tcPr>
          <w:p>
            <w:pPr/>
          </w:p>
        </w:tc>
        <w:tc>
          <w:tcPr>
            <w:tcW w:w="994" w:type="dxa"/>
            <w:gridSpan w:val="2"/>
            <w:vMerge/>
            <w:tcBorders>
              <w:left w:val="single" w:sz="4" w:space="0" w:color="000000"/>
              <w:right w:val="single" w:sz="4" w:space="0" w:color="000000"/>
            </w:tcBorders>
          </w:tcPr>
          <w:p>
            <w:pP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4" w:space="0" w:color="000000"/>
              <w:right w:val="single" w:sz="4" w:space="0" w:color="000000"/>
            </w:tcBorders>
          </w:tcPr>
          <w:p>
            <w:pPr/>
          </w:p>
        </w:tc>
      </w:tr>
      <w:tr>
        <w:trPr>
          <w:trHeight w:val="324" w:hRule="exact"/>
        </w:trPr>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2017-11-10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0" w:right="0"/>
              <w:jc w:val="left"/>
              <w:rPr>
                <w:rFonts w:ascii="宋体" w:hAnsi="宋体" w:cs="宋体" w:eastAsia="宋体" w:hint="default"/>
                <w:sz w:val="18"/>
                <w:szCs w:val="18"/>
              </w:rPr>
            </w:pPr>
            <w:r>
              <w:rPr>
                <w:rFonts w:ascii="宋体"/>
                <w:sz w:val="18"/>
              </w:rPr>
              <w:t>20,000</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sz w:val="18"/>
              </w:rPr>
              <w:t>2017-11-08</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850" w:type="dxa"/>
            <w:gridSpan w:val="2"/>
            <w:vMerge/>
            <w:tcBorders>
              <w:left w:val="single" w:sz="4" w:space="0" w:color="000000"/>
              <w:bottom w:val="single" w:sz="4" w:space="0" w:color="000000"/>
              <w:right w:val="single" w:sz="4" w:space="0" w:color="000000"/>
            </w:tcBorders>
          </w:tcPr>
          <w:p>
            <w:pPr/>
          </w:p>
        </w:tc>
        <w:tc>
          <w:tcPr>
            <w:tcW w:w="994" w:type="dxa"/>
            <w:gridSpan w:val="2"/>
            <w:vMerge/>
            <w:tcBorders>
              <w:left w:val="single" w:sz="4" w:space="0" w:color="000000"/>
              <w:bottom w:val="single" w:sz="4" w:space="0" w:color="000000"/>
              <w:right w:val="single" w:sz="4" w:space="0" w:color="000000"/>
            </w:tcBorders>
          </w:tcPr>
          <w:p>
            <w:pP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vMerge/>
            <w:tcBorders>
              <w:left w:val="single" w:sz="4" w:space="0" w:color="000000"/>
              <w:bottom w:val="single" w:sz="4" w:space="0" w:color="000000"/>
              <w:right w:val="single" w:sz="4" w:space="0" w:color="000000"/>
            </w:tcBorders>
          </w:tcPr>
          <w:p>
            <w:pPr/>
          </w:p>
        </w:tc>
      </w:tr>
      <w:tr>
        <w:trPr>
          <w:trHeight w:val="322" w:hRule="exact"/>
        </w:trPr>
        <w:tc>
          <w:tcPr>
            <w:tcW w:w="38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报告期内审批对子公司担保额度合计(B1)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43,000</w:t>
            </w:r>
          </w:p>
        </w:tc>
        <w:tc>
          <w:tcPr>
            <w:tcW w:w="35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报告期内对子公司担保实际发生额合计(B2)</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9" w:right="0"/>
              <w:jc w:val="left"/>
              <w:rPr>
                <w:rFonts w:ascii="宋体" w:hAnsi="宋体" w:cs="宋体" w:eastAsia="宋体" w:hint="default"/>
                <w:sz w:val="18"/>
                <w:szCs w:val="18"/>
              </w:rPr>
            </w:pPr>
            <w:r>
              <w:rPr>
                <w:rFonts w:ascii="宋体"/>
                <w:sz w:val="18"/>
              </w:rPr>
              <w:t>10,132.12</w:t>
            </w:r>
          </w:p>
        </w:tc>
      </w:tr>
      <w:tr>
        <w:trPr>
          <w:trHeight w:val="322" w:hRule="exact"/>
        </w:trPr>
        <w:tc>
          <w:tcPr>
            <w:tcW w:w="38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报告期末已审批的对子公司担保额度合计(B3)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46,000</w:t>
            </w:r>
          </w:p>
        </w:tc>
        <w:tc>
          <w:tcPr>
            <w:tcW w:w="35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报告期末对子公司实际担保余额合计(B4)</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0" w:right="0"/>
              <w:jc w:val="left"/>
              <w:rPr>
                <w:rFonts w:ascii="宋体" w:hAnsi="宋体" w:cs="宋体" w:eastAsia="宋体" w:hint="default"/>
                <w:sz w:val="18"/>
                <w:szCs w:val="18"/>
              </w:rPr>
            </w:pPr>
            <w:r>
              <w:rPr>
                <w:rFonts w:ascii="宋体"/>
                <w:sz w:val="18"/>
              </w:rPr>
              <w:t>5,228.11</w:t>
            </w:r>
          </w:p>
        </w:tc>
      </w:tr>
      <w:tr>
        <w:trPr>
          <w:trHeight w:val="322" w:hRule="exact"/>
        </w:trPr>
        <w:tc>
          <w:tcPr>
            <w:tcW w:w="9638"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4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是否为关联</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方担保</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c>
          <w:tcPr>
            <w:tcW w:w="1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4" w:right="0"/>
              <w:jc w:val="left"/>
              <w:rPr>
                <w:rFonts w:ascii="宋体" w:hAnsi="宋体" w:cs="宋体" w:eastAsia="宋体" w:hint="default"/>
                <w:sz w:val="18"/>
                <w:szCs w:val="18"/>
              </w:rPr>
            </w:pPr>
            <w:r>
              <w:rPr>
                <w:rFonts w:ascii="宋体"/>
                <w:sz w:val="18"/>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w:t>
            </w:r>
          </w:p>
        </w:tc>
        <w:tc>
          <w:tcPr>
            <w:tcW w:w="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3" w:right="0"/>
              <w:jc w:val="lef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w:t>
            </w:r>
          </w:p>
        </w:tc>
      </w:tr>
      <w:tr>
        <w:trPr>
          <w:trHeight w:val="322" w:hRule="exact"/>
        </w:trPr>
        <w:tc>
          <w:tcPr>
            <w:tcW w:w="38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报告期内审批对子公司担保额度合计(C1)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sz w:val="18"/>
              </w:rPr>
              <w:t>0.00</w:t>
            </w:r>
          </w:p>
        </w:tc>
        <w:tc>
          <w:tcPr>
            <w:tcW w:w="36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报告期内对子公司担保实际发生额合计(C2)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r>
      <w:tr>
        <w:trPr>
          <w:trHeight w:val="322" w:hRule="exact"/>
        </w:trPr>
        <w:tc>
          <w:tcPr>
            <w:tcW w:w="38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报告期末已审批的对子公司担保额度合计(C3)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4" w:right="0"/>
              <w:jc w:val="left"/>
              <w:rPr>
                <w:rFonts w:ascii="宋体" w:hAnsi="宋体" w:cs="宋体" w:eastAsia="宋体" w:hint="default"/>
                <w:sz w:val="18"/>
                <w:szCs w:val="18"/>
              </w:rPr>
            </w:pPr>
            <w:r>
              <w:rPr>
                <w:rFonts w:ascii="宋体"/>
                <w:sz w:val="18"/>
              </w:rPr>
              <w:t>0.00</w:t>
            </w:r>
          </w:p>
        </w:tc>
        <w:tc>
          <w:tcPr>
            <w:tcW w:w="368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报告期末对子公司实际担保余额合计(C4)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r>
      <w:tr>
        <w:trPr>
          <w:trHeight w:val="322" w:hRule="exact"/>
        </w:trPr>
        <w:tc>
          <w:tcPr>
            <w:tcW w:w="9638"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324" w:hRule="exact"/>
        </w:trPr>
        <w:tc>
          <w:tcPr>
            <w:tcW w:w="36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报告期内审批担保额度合计(A1+B1+C1)</w:t>
            </w:r>
          </w:p>
        </w:tc>
        <w:tc>
          <w:tcPr>
            <w:tcW w:w="14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4" w:right="0"/>
              <w:jc w:val="left"/>
              <w:rPr>
                <w:rFonts w:ascii="宋体" w:hAnsi="宋体" w:cs="宋体" w:eastAsia="宋体" w:hint="default"/>
                <w:sz w:val="18"/>
                <w:szCs w:val="18"/>
              </w:rPr>
            </w:pPr>
            <w:r>
              <w:rPr>
                <w:rFonts w:ascii="宋体"/>
                <w:sz w:val="18"/>
              </w:rPr>
              <w:t>43,000</w:t>
            </w:r>
          </w:p>
        </w:tc>
        <w:tc>
          <w:tcPr>
            <w:tcW w:w="35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报告期内担保实际发生额合计(A2+B2+C2)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10,132.12</w:t>
            </w:r>
          </w:p>
        </w:tc>
      </w:tr>
    </w:tbl>
    <w:p>
      <w:pPr>
        <w:spacing w:after="0" w:line="240" w:lineRule="auto"/>
        <w:jc w:val="right"/>
        <w:rPr>
          <w:rFonts w:ascii="宋体" w:hAnsi="宋体" w:cs="宋体" w:eastAsia="宋体" w:hint="default"/>
          <w:sz w:val="18"/>
          <w:szCs w:val="18"/>
        </w:rPr>
        <w:sectPr>
          <w:footerReference w:type="default" r:id="rId33"/>
          <w:pgSz w:w="11910" w:h="16840"/>
          <w:pgMar w:footer="1000" w:header="884" w:top="1140" w:bottom="1200" w:left="1080" w:right="960"/>
          <w:pgNumType w:start="41"/>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686"/>
        <w:gridCol w:w="1416"/>
        <w:gridCol w:w="1135"/>
        <w:gridCol w:w="2410"/>
        <w:gridCol w:w="991"/>
      </w:tblGrid>
      <w:tr>
        <w:trPr>
          <w:trHeight w:val="406"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报告期末已审批的担保额度合计(A3+B3+C3)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4" w:right="0"/>
              <w:jc w:val="left"/>
              <w:rPr>
                <w:rFonts w:ascii="宋体" w:hAnsi="宋体" w:cs="宋体" w:eastAsia="宋体" w:hint="default"/>
                <w:sz w:val="18"/>
                <w:szCs w:val="18"/>
              </w:rPr>
            </w:pPr>
            <w:r>
              <w:rPr>
                <w:rFonts w:ascii="宋体"/>
                <w:sz w:val="18"/>
              </w:rPr>
              <w:t>46,000</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报告期末实际担保余额合计(A4+B4+C4)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宋体" w:hAnsi="宋体" w:cs="宋体" w:eastAsia="宋体" w:hint="default"/>
                <w:sz w:val="18"/>
                <w:szCs w:val="18"/>
              </w:rPr>
            </w:pPr>
            <w:r>
              <w:rPr>
                <w:rFonts w:ascii="宋体"/>
                <w:sz w:val="18"/>
              </w:rPr>
              <w:t>5,228.11</w:t>
            </w:r>
          </w:p>
        </w:tc>
      </w:tr>
      <w:tr>
        <w:trPr>
          <w:trHeight w:val="420" w:hRule="exact"/>
        </w:trPr>
        <w:tc>
          <w:tcPr>
            <w:tcW w:w="5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5"/>
                <w:sz w:val="18"/>
                <w:szCs w:val="18"/>
              </w:rPr>
              <w:t> </w:t>
            </w:r>
            <w:r>
              <w:rPr>
                <w:rFonts w:ascii="宋体" w:hAnsi="宋体" w:cs="宋体" w:eastAsia="宋体" w:hint="default"/>
                <w:sz w:val="18"/>
                <w:szCs w:val="18"/>
              </w:rPr>
              <w:t>A4+B4+C4)占公司净资产的比例(%)</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宋体" w:hAnsi="宋体" w:cs="宋体" w:eastAsia="宋体" w:hint="default"/>
                <w:sz w:val="18"/>
                <w:szCs w:val="18"/>
              </w:rPr>
            </w:pPr>
            <w:r>
              <w:rPr>
                <w:rFonts w:ascii="宋体"/>
                <w:sz w:val="18"/>
              </w:rPr>
              <w:t>1.96</w:t>
            </w:r>
          </w:p>
        </w:tc>
      </w:tr>
      <w:tr>
        <w:trPr>
          <w:trHeight w:val="322" w:hRule="exact"/>
        </w:trPr>
        <w:tc>
          <w:tcPr>
            <w:tcW w:w="96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2" w:hRule="exact"/>
        </w:trPr>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为股东、实际控制人及其关联方提供担保的金额(D)</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r>
      <w:tr>
        <w:trPr>
          <w:trHeight w:val="322" w:hRule="exact"/>
        </w:trPr>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3"/>
                <w:sz w:val="18"/>
                <w:szCs w:val="18"/>
              </w:rPr>
              <w:t> </w:t>
            </w:r>
            <w:r>
              <w:rPr>
                <w:rFonts w:ascii="宋体" w:hAnsi="宋体" w:cs="宋体" w:eastAsia="宋体" w:hint="default"/>
                <w:sz w:val="18"/>
                <w:szCs w:val="18"/>
              </w:rPr>
              <w:t>70%的被担保对象提供的债务担保金额(E)</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r>
      <w:tr>
        <w:trPr>
          <w:trHeight w:val="322" w:hRule="exact"/>
        </w:trPr>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50%部分的金额(F)</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r>
      <w:tr>
        <w:trPr>
          <w:trHeight w:val="324" w:hRule="exact"/>
        </w:trPr>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上述三项担保金额合计(D+E+F)</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20"/>
          <w:szCs w:val="20"/>
        </w:rPr>
      </w:pPr>
    </w:p>
    <w:p>
      <w:pPr>
        <w:pStyle w:val="BodyText"/>
        <w:spacing w:line="326" w:lineRule="auto" w:before="36"/>
        <w:ind w:left="813" w:right="4530"/>
        <w:jc w:val="left"/>
      </w:pPr>
      <w:r>
        <w:rPr>
          <w:spacing w:val="-2"/>
        </w:rPr>
        <w:t>三、委托他人进行现金资产管理情况</w:t>
      </w:r>
      <w:r>
        <w:rPr>
          <w:spacing w:val="-72"/>
        </w:rPr>
        <w:t> </w:t>
      </w:r>
      <w:r>
        <w:rPr>
          <w:spacing w:val="-72"/>
        </w:rPr>
      </w:r>
      <w:r>
        <w:rPr/>
        <w:t>1、报告期委托理财情况</w:t>
      </w:r>
    </w:p>
    <w:p>
      <w:pPr>
        <w:pStyle w:val="BodyText"/>
        <w:spacing w:line="234" w:lineRule="exact" w:before="0"/>
        <w:ind w:left="813" w:right="342"/>
        <w:jc w:val="left"/>
      </w:pPr>
      <w:r>
        <w:rPr/>
        <w:t>公司或全资子公司自</w:t>
      </w:r>
      <w:r>
        <w:rPr>
          <w:spacing w:val="-34"/>
        </w:rPr>
        <w:t> </w:t>
      </w:r>
      <w:r>
        <w:rPr/>
        <w:t>2017</w:t>
      </w:r>
      <w:r>
        <w:rPr>
          <w:spacing w:val="-32"/>
        </w:rPr>
        <w:t> </w:t>
      </w:r>
      <w:r>
        <w:rPr/>
        <w:t>年</w:t>
      </w:r>
      <w:r>
        <w:rPr>
          <w:spacing w:val="-32"/>
        </w:rPr>
        <w:t> </w:t>
      </w:r>
      <w:r>
        <w:rPr/>
        <w:t>1</w:t>
      </w:r>
      <w:r>
        <w:rPr>
          <w:spacing w:val="-32"/>
        </w:rPr>
        <w:t> </w:t>
      </w:r>
      <w:r>
        <w:rPr/>
        <w:t>月起购买或之前购买延续至本期的委托理财为银行理财产品、</w:t>
      </w:r>
    </w:p>
    <w:p>
      <w:pPr>
        <w:pStyle w:val="BodyText"/>
        <w:spacing w:line="273" w:lineRule="auto" w:before="37"/>
        <w:ind w:left="393" w:right="450"/>
        <w:jc w:val="both"/>
      </w:pPr>
      <w:r>
        <w:rPr/>
        <w:t>公募基金产品，单项金额最大的为 10,000</w:t>
      </w:r>
      <w:r>
        <w:rPr>
          <w:spacing w:val="-23"/>
        </w:rPr>
        <w:t> </w:t>
      </w:r>
      <w:r>
        <w:rPr/>
        <w:t>万元，没有出现预期无法收回本金或存在其他可能导致</w:t>
      </w:r>
      <w:r>
        <w:rPr>
          <w:w w:val="100"/>
        </w:rPr>
        <w:t> </w:t>
      </w:r>
      <w:r>
        <w:rPr/>
        <w:t>减值的情形，不存在安全性较低、流动性较差、不保本的高风险委托理财，有关情况见下表(金额</w:t>
      </w:r>
      <w:r>
        <w:rPr>
          <w:spacing w:val="-24"/>
        </w:rPr>
        <w:t> </w:t>
      </w:r>
      <w:r>
        <w:rPr>
          <w:spacing w:val="-24"/>
        </w:rPr>
      </w:r>
      <w:r>
        <w:rPr/>
        <w:t>单位：万元)</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02"/>
        <w:gridCol w:w="1843"/>
        <w:gridCol w:w="2410"/>
        <w:gridCol w:w="1841"/>
        <w:gridCol w:w="1843"/>
      </w:tblGrid>
      <w:tr>
        <w:trPr>
          <w:trHeight w:val="32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8"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逾期未收回金额</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130,100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15,300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公募基金产品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3,000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133,100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18,300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bl>
    <w:p>
      <w:pPr>
        <w:pStyle w:val="BodyText"/>
        <w:spacing w:line="273" w:lineRule="auto" w:before="81"/>
        <w:ind w:left="393" w:right="445" w:firstLine="420"/>
        <w:jc w:val="left"/>
      </w:pPr>
      <w:r>
        <w:rPr/>
        <w:t>2018</w:t>
      </w:r>
      <w:r>
        <w:rPr>
          <w:spacing w:val="-44"/>
        </w:rPr>
        <w:t> </w:t>
      </w:r>
      <w:r>
        <w:rPr/>
        <w:t>年在动用自有资金不超过</w:t>
      </w:r>
      <w:r>
        <w:rPr>
          <w:spacing w:val="-42"/>
        </w:rPr>
        <w:t> </w:t>
      </w:r>
      <w:r>
        <w:rPr/>
        <w:t>20,000</w:t>
      </w:r>
      <w:r>
        <w:rPr>
          <w:spacing w:val="-42"/>
        </w:rPr>
        <w:t> </w:t>
      </w:r>
      <w:r>
        <w:rPr/>
        <w:t>万元人民币的范围内，按照公司相关制度规定，购买银</w:t>
      </w:r>
      <w:r>
        <w:rPr>
          <w:w w:val="100"/>
        </w:rPr>
        <w:t> </w:t>
      </w:r>
      <w:r>
        <w:rPr/>
        <w:t>行保本理财产品。</w:t>
      </w:r>
    </w:p>
    <w:p>
      <w:pPr>
        <w:pStyle w:val="BodyText"/>
        <w:tabs>
          <w:tab w:pos="3547" w:val="left" w:leader="none"/>
        </w:tabs>
        <w:spacing w:line="240" w:lineRule="auto" w:before="101"/>
        <w:ind w:left="813" w:right="1174"/>
        <w:jc w:val="left"/>
      </w:pPr>
      <w:r>
        <w:rPr/>
        <w:t>2、委托贷款情况：□</w:t>
      </w:r>
      <w:r>
        <w:rPr>
          <w:spacing w:val="-2"/>
        </w:rPr>
        <w:t> </w:t>
      </w:r>
      <w:r>
        <w:rPr/>
        <w:t>适用</w:t>
        <w:tab/>
        <w:t>√ 不适用</w:t>
      </w:r>
      <w:r>
        <w:rPr>
          <w:spacing w:val="-7"/>
        </w:rPr>
        <w:t> </w:t>
      </w:r>
      <w:r>
        <w:rPr/>
        <w:t>(公司报告期不存在委托贷款)。</w:t>
      </w:r>
    </w:p>
    <w:p>
      <w:pPr>
        <w:spacing w:line="240" w:lineRule="auto" w:before="10"/>
        <w:rPr>
          <w:rFonts w:ascii="宋体" w:hAnsi="宋体" w:cs="宋体" w:eastAsia="宋体" w:hint="default"/>
          <w:sz w:val="14"/>
          <w:szCs w:val="14"/>
        </w:rPr>
      </w:pPr>
    </w:p>
    <w:p>
      <w:pPr>
        <w:pStyle w:val="BodyText"/>
        <w:tabs>
          <w:tab w:pos="3650" w:val="left" w:leader="none"/>
        </w:tabs>
        <w:spacing w:line="326" w:lineRule="auto" w:before="0"/>
        <w:ind w:left="813" w:right="1804"/>
        <w:jc w:val="left"/>
      </w:pPr>
      <w:r>
        <w:rPr/>
        <w:t>四、其他重大合同：□</w:t>
      </w:r>
      <w:r>
        <w:rPr>
          <w:spacing w:val="-3"/>
        </w:rPr>
        <w:t> </w:t>
      </w:r>
      <w:r>
        <w:rPr/>
        <w:t>适用</w:t>
        <w:tab/>
        <w:t>√ 不适用</w:t>
      </w:r>
      <w:r>
        <w:rPr>
          <w:spacing w:val="-7"/>
        </w:rPr>
        <w:t> </w:t>
      </w:r>
      <w:r>
        <w:rPr/>
        <w:t>(公司报告期不存在其他重大合同)。</w:t>
      </w:r>
      <w:r>
        <w:rPr>
          <w:w w:val="100"/>
        </w:rPr>
        <w:t> </w:t>
      </w:r>
      <w:r>
        <w:rPr/>
        <w:t>以前期间发生但延续到报告期的合同</w:t>
      </w:r>
    </w:p>
    <w:p>
      <w:pPr>
        <w:pStyle w:val="BodyText"/>
        <w:spacing w:line="236" w:lineRule="exact" w:before="0"/>
        <w:ind w:left="393" w:right="342" w:firstLine="420"/>
        <w:jc w:val="left"/>
      </w:pPr>
      <w:r>
        <w:rPr/>
        <w:t>经公司第六届董事会</w:t>
      </w:r>
      <w:r>
        <w:rPr>
          <w:spacing w:val="-55"/>
        </w:rPr>
        <w:t> </w:t>
      </w:r>
      <w:r>
        <w:rPr/>
        <w:t>2015</w:t>
      </w:r>
      <w:r>
        <w:rPr>
          <w:spacing w:val="-57"/>
        </w:rPr>
        <w:t> </w:t>
      </w:r>
      <w:r>
        <w:rPr/>
        <w:t>年第五次会议决议提请公司</w:t>
      </w:r>
      <w:r>
        <w:rPr>
          <w:spacing w:val="-55"/>
        </w:rPr>
        <w:t> </w:t>
      </w:r>
      <w:r>
        <w:rPr/>
        <w:t>2015</w:t>
      </w:r>
      <w:r>
        <w:rPr>
          <w:spacing w:val="-55"/>
        </w:rPr>
        <w:t> </w:t>
      </w:r>
      <w:r>
        <w:rPr/>
        <w:t>年第二次临时股东大会审议通过，</w:t>
      </w:r>
    </w:p>
    <w:p>
      <w:pPr>
        <w:pStyle w:val="BodyText"/>
        <w:spacing w:line="273" w:lineRule="auto" w:before="37"/>
        <w:ind w:left="393" w:right="342"/>
        <w:jc w:val="left"/>
      </w:pPr>
      <w:r>
        <w:rPr>
          <w:spacing w:val="-2"/>
        </w:rPr>
        <w:t>公司与长实网络、孝昌恒隆、长实锦轩、张文、李强签署了《资产购买协议》及《盈利预测补偿协</w:t>
      </w:r>
      <w:r>
        <w:rPr>
          <w:spacing w:val="-47"/>
        </w:rPr>
        <w:t> </w:t>
      </w:r>
      <w:r>
        <w:rPr>
          <w:spacing w:val="-47"/>
        </w:rPr>
      </w:r>
      <w:r>
        <w:rPr>
          <w:spacing w:val="-8"/>
          <w:w w:val="100"/>
        </w:rPr>
        <w:t>议》，有关上述协议的情况见下表：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8"/>
        <w:gridCol w:w="7370"/>
      </w:tblGrid>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购买方：茂业通信网络股份有限公司</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出让方：广东长实网络技术有限公司、孝昌恒隆投资中心(有限合伙)、孝昌长实锦轩投资中</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心(有限合伙)、张文、李强</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r>
              <w:rPr>
                <w:rFonts w:ascii="宋体" w:hAnsi="宋体" w:cs="宋体" w:eastAsia="宋体" w:hint="default"/>
                <w:spacing w:val="-43"/>
                <w:sz w:val="18"/>
                <w:szCs w:val="18"/>
              </w:rPr>
              <w:t> </w:t>
            </w:r>
            <w:r>
              <w:rPr>
                <w:rFonts w:ascii="宋体" w:hAnsi="宋体" w:cs="宋体" w:eastAsia="宋体" w:hint="default"/>
                <w:sz w:val="18"/>
                <w:szCs w:val="18"/>
              </w:rPr>
              <w:t>100%股权</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评估基准日合同涉及的资产账面价值为</w:t>
            </w:r>
            <w:r>
              <w:rPr>
                <w:rFonts w:ascii="宋体" w:hAnsi="宋体" w:cs="宋体" w:eastAsia="宋体" w:hint="default"/>
                <w:spacing w:val="-45"/>
                <w:sz w:val="18"/>
                <w:szCs w:val="18"/>
              </w:rPr>
              <w:t> </w:t>
            </w:r>
            <w:r>
              <w:rPr>
                <w:rFonts w:ascii="宋体" w:hAnsi="宋体" w:cs="宋体" w:eastAsia="宋体" w:hint="default"/>
                <w:sz w:val="18"/>
                <w:szCs w:val="18"/>
              </w:rPr>
              <w:t>11,302.86</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采用收益法的资产评估价值为</w:t>
            </w:r>
            <w:r>
              <w:rPr>
                <w:rFonts w:ascii="宋体" w:hAnsi="宋体" w:cs="宋体" w:eastAsia="宋体" w:hint="default"/>
                <w:spacing w:val="-45"/>
                <w:sz w:val="18"/>
                <w:szCs w:val="18"/>
              </w:rPr>
              <w:t> </w:t>
            </w:r>
            <w:r>
              <w:rPr>
                <w:rFonts w:ascii="宋体" w:hAnsi="宋体" w:cs="宋体" w:eastAsia="宋体" w:hint="default"/>
                <w:sz w:val="18"/>
                <w:szCs w:val="18"/>
              </w:rPr>
              <w:t>120,295.34</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评估机构名称</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中水致远资产评估有限公司</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以收益法的评估价值为依据，协商确定本次交易价格。</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120,000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是否关联交易</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因控股股东中兆投资为交易第二期价款支付提供连带责任保证形成关联交易</w:t>
            </w:r>
          </w:p>
        </w:tc>
      </w:tr>
      <w:tr>
        <w:trPr>
          <w:trHeight w:val="3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与交易对方不构成关联关系</w:t>
            </w:r>
          </w:p>
        </w:tc>
      </w:tr>
      <w:tr>
        <w:trPr>
          <w:trHeight w:val="71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6"/>
                <w:sz w:val="18"/>
                <w:szCs w:val="18"/>
              </w:rPr>
              <w:t>截至报告期末合同的执行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情况</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报告期标的资产实现的扣除非经常性损益后的净利润低于盈利预测，但期末连续</w:t>
            </w:r>
            <w:r>
              <w:rPr>
                <w:rFonts w:ascii="宋体" w:hAnsi="宋体" w:cs="宋体" w:eastAsia="宋体" w:hint="default"/>
                <w:spacing w:val="-70"/>
                <w:sz w:val="18"/>
                <w:szCs w:val="18"/>
              </w:rPr>
              <w:t> </w:t>
            </w:r>
            <w:r>
              <w:rPr>
                <w:rFonts w:ascii="宋体" w:hAnsi="宋体" w:cs="宋体" w:eastAsia="宋体" w:hint="default"/>
                <w:sz w:val="18"/>
                <w:szCs w:val="18"/>
              </w:rPr>
              <w:t>3</w:t>
            </w:r>
            <w:r>
              <w:rPr>
                <w:rFonts w:ascii="宋体" w:hAnsi="宋体" w:cs="宋体" w:eastAsia="宋体" w:hint="default"/>
                <w:spacing w:val="-69"/>
                <w:sz w:val="18"/>
                <w:szCs w:val="18"/>
              </w:rPr>
              <w:t> </w:t>
            </w:r>
            <w:r>
              <w:rPr>
                <w:rFonts w:ascii="宋体" w:hAnsi="宋体" w:cs="宋体" w:eastAsia="宋体" w:hint="default"/>
                <w:sz w:val="18"/>
                <w:szCs w:val="18"/>
              </w:rPr>
              <w:t>年累计实</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2"/>
                <w:sz w:val="18"/>
                <w:szCs w:val="18"/>
              </w:rPr>
              <w:t>现的扣非后净利润高于累计预测净利润；本期末对标的资产进行减值测试未出现减值，都没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有没有触发合同的业绩补偿条款。有关详情可阅读本年报本章第二节的相关内容。</w:t>
            </w:r>
          </w:p>
        </w:tc>
      </w:tr>
    </w:tbl>
    <w:p>
      <w:pPr>
        <w:spacing w:after="0" w:line="232" w:lineRule="exact"/>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418"/>
        <w:gridCol w:w="1699"/>
        <w:gridCol w:w="4963"/>
        <w:gridCol w:w="1558"/>
      </w:tblGrid>
      <w:tr>
        <w:trPr>
          <w:trHeight w:val="32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4"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公告名称(编号)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公司第六届董事会</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年第五次会议决议公告(公告编号：2015—42)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2015-05-09</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公司重大资产购买暨关联交易报告书(草案)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2015-05-09</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年第二次临时股东大会决议公告(公告编号：2015-48)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2015-05-26</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公司关于重大资产重组完成资产过户的公告(公告编号：2015-54)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2015-06-09</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公司关于重大资产重组(资产收购)交易价款支付完毕的公告(公告编号：2015-108)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2015-11-24</w:t>
            </w:r>
          </w:p>
        </w:tc>
      </w:tr>
      <w:tr>
        <w:trPr>
          <w:trHeight w:val="324"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公司关于重大资产重组(资产收购)实施阶段进展公告(公告编号：2016-33)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2016-04-25</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公司关于重大资产重组(资产收购)实施情况公告(公告编号：2016-38)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2016-05-25</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公司关于重大资产重组(资产收购)剩余事项进展公告(公告编号：2016-54)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2016-08-10</w:t>
            </w:r>
          </w:p>
        </w:tc>
      </w:tr>
      <w:tr>
        <w:trPr>
          <w:trHeight w:val="322" w:hRule="exact"/>
        </w:trPr>
        <w:tc>
          <w:tcPr>
            <w:tcW w:w="1418" w:type="dxa"/>
            <w:vMerge/>
            <w:tcBorders>
              <w:left w:val="single" w:sz="4" w:space="0" w:color="000000"/>
              <w:bottom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公司关于重大资产重组(资产收购)实施完毕公告(公告编号：2016-56)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2016-08-19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36"/>
        <w:ind w:left="3688" w:right="1174" w:firstLine="0"/>
        <w:jc w:val="left"/>
        <w:rPr>
          <w:rFonts w:ascii="宋体" w:hAnsi="宋体" w:cs="宋体" w:eastAsia="宋体" w:hint="default"/>
          <w:sz w:val="21"/>
          <w:szCs w:val="21"/>
        </w:rPr>
      </w:pPr>
      <w:r>
        <w:rPr>
          <w:rFonts w:ascii="宋体" w:hAnsi="宋体" w:cs="宋体" w:eastAsia="宋体" w:hint="default"/>
          <w:b/>
          <w:bCs/>
          <w:sz w:val="21"/>
          <w:szCs w:val="21"/>
        </w:rPr>
        <w:t>第六节 履行社会责任情况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73" w:lineRule="auto" w:before="0"/>
        <w:ind w:left="813" w:right="6517"/>
        <w:jc w:val="left"/>
      </w:pPr>
      <w:r>
        <w:rPr>
          <w:spacing w:val="-2"/>
        </w:rPr>
        <w:t>一、履行社会责任情况</w:t>
      </w:r>
      <w:r>
        <w:rPr>
          <w:spacing w:val="-85"/>
        </w:rPr>
        <w:t> </w:t>
      </w:r>
      <w:r>
        <w:rPr>
          <w:spacing w:val="-85"/>
        </w:rPr>
      </w:r>
      <w:r>
        <w:rPr/>
        <w:t>1、概述</w:t>
      </w:r>
    </w:p>
    <w:p>
      <w:pPr>
        <w:pStyle w:val="BodyText"/>
        <w:spacing w:line="273" w:lineRule="auto" w:before="8"/>
        <w:ind w:left="393" w:right="342" w:firstLine="420"/>
        <w:jc w:val="left"/>
      </w:pPr>
      <w:r>
        <w:rPr/>
        <w:t>坚持技术进步和服务客户、让消费者满意、以员工为本、追求利润回报投资者和追求社会及市</w:t>
      </w:r>
      <w:r>
        <w:rPr>
          <w:w w:val="100"/>
        </w:rPr>
        <w:t> </w:t>
      </w:r>
      <w:r>
        <w:rPr/>
        <w:t>场良好影响是公司发展战略的构成内容。为此公司完善相关制度，落实部门职能和企业责任，依据</w:t>
      </w:r>
      <w:r>
        <w:rPr>
          <w:w w:val="100"/>
        </w:rPr>
        <w:t> </w:t>
      </w:r>
      <w:r>
        <w:rPr/>
        <w:t>公司所处行业、业务性质、周边环境、相关者利益，按照法律法规规章要求，做好履行社会责任工</w:t>
      </w:r>
      <w:r>
        <w:rPr>
          <w:w w:val="100"/>
        </w:rPr>
        <w:t> </w:t>
      </w:r>
      <w:r>
        <w:rPr>
          <w:spacing w:val="-5"/>
        </w:rPr>
        <w:t>作。报告期在参与厦门金砖国家领导人会晤等重大通信保障工作和支援福建抗击“纳沙”、“海棠”</w:t>
      </w:r>
      <w:r>
        <w:rPr>
          <w:spacing w:val="-16"/>
        </w:rPr>
        <w:t> </w:t>
      </w:r>
      <w:r>
        <w:rPr>
          <w:spacing w:val="-16"/>
        </w:rPr>
      </w:r>
      <w:r>
        <w:rPr/>
        <w:t>及广东“天鸽”等台风的通信保障抢修工作期间，子公司长实通信做出突出贡献，获得中国移动颁</w:t>
      </w:r>
      <w:r>
        <w:rPr>
          <w:w w:val="100"/>
        </w:rPr>
        <w:t> </w:t>
      </w:r>
      <w:r>
        <w:rPr>
          <w:spacing w:val="-4"/>
        </w:rPr>
        <w:t>发的“防汛应急保障优秀表现奖”荣誉称号，获得铁塔公司颁发的“2017</w:t>
      </w:r>
      <w:r>
        <w:rPr>
          <w:spacing w:val="-39"/>
        </w:rPr>
        <w:t> </w:t>
      </w:r>
      <w:r>
        <w:rPr/>
        <w:t>年厦门金砖会议通讯保障</w:t>
      </w:r>
      <w:r>
        <w:rPr>
          <w:spacing w:val="-64"/>
        </w:rPr>
        <w:t> </w:t>
      </w:r>
      <w:r>
        <w:rPr>
          <w:spacing w:val="-64"/>
        </w:rPr>
      </w:r>
      <w:r>
        <w:rPr/>
        <w:t>优秀合作单位”荣誉称号。子公司创世漫道在履行社会责任中获得由北京市经济和信息化委员会、</w:t>
      </w:r>
      <w:r>
        <w:rPr>
          <w:w w:val="100"/>
        </w:rPr>
        <w:t> </w:t>
      </w:r>
      <w:r>
        <w:rPr/>
        <w:t>首都精神文明建设委员会办公室、北京市工商行政管理局、北京市地方税务局联合颁发的北京市诚</w:t>
      </w:r>
      <w:r>
        <w:rPr>
          <w:w w:val="100"/>
        </w:rPr>
        <w:t> </w:t>
      </w:r>
      <w:r>
        <w:rPr/>
        <w:t>信创建企业称号。</w:t>
      </w:r>
    </w:p>
    <w:p>
      <w:pPr>
        <w:pStyle w:val="BodyText"/>
        <w:spacing w:line="240" w:lineRule="auto"/>
        <w:ind w:left="813" w:right="1174"/>
        <w:jc w:val="left"/>
      </w:pPr>
      <w:r>
        <w:rPr/>
        <w:t>2、社会责任履行情况</w:t>
      </w:r>
    </w:p>
    <w:p>
      <w:pPr>
        <w:pStyle w:val="BodyText"/>
        <w:spacing w:line="273" w:lineRule="auto" w:before="37"/>
        <w:ind w:left="393" w:right="342" w:firstLine="420"/>
        <w:jc w:val="left"/>
      </w:pPr>
      <w:r>
        <w:rPr/>
        <w:t>(1)</w:t>
      </w:r>
      <w:r>
        <w:rPr>
          <w:spacing w:val="-12"/>
        </w:rPr>
        <w:t> </w:t>
      </w:r>
      <w:r>
        <w:rPr/>
        <w:t>公司按规范性程序、采用现场表决和网络投票方式召开股东大会，保障中小投资者依法行</w:t>
      </w:r>
      <w:r>
        <w:rPr>
          <w:w w:val="100"/>
        </w:rPr>
        <w:t> </w:t>
      </w:r>
      <w:r>
        <w:rPr>
          <w:spacing w:val="-5"/>
        </w:rPr>
        <w:t>使表决权；及时、真实、准确、完整、公平披露信息，不存在选择性披露；按照《公司章程》规定、</w:t>
      </w:r>
      <w:r>
        <w:rPr>
          <w:spacing w:val="-13"/>
        </w:rPr>
        <w:t> </w:t>
      </w:r>
      <w:r>
        <w:rPr>
          <w:spacing w:val="-13"/>
        </w:rPr>
      </w:r>
      <w:r>
        <w:rPr/>
        <w:t>股东大会决议进行现金分红；通过业绩说明会、“互动易”及时回复投资者咨询。</w:t>
      </w:r>
    </w:p>
    <w:p>
      <w:pPr>
        <w:pStyle w:val="BodyText"/>
        <w:spacing w:line="273" w:lineRule="auto"/>
        <w:ind w:left="393" w:right="342" w:firstLine="420"/>
        <w:jc w:val="left"/>
      </w:pPr>
      <w:r>
        <w:rPr/>
        <w:t>(2)</w:t>
      </w:r>
      <w:r>
        <w:rPr>
          <w:spacing w:val="-12"/>
        </w:rPr>
        <w:t> </w:t>
      </w:r>
      <w:r>
        <w:rPr/>
        <w:t>重视维护员工合法权益，建立并施行符合《公司法》和公司章程的职工监事选任制度，保</w:t>
      </w:r>
      <w:r>
        <w:rPr>
          <w:w w:val="100"/>
        </w:rPr>
        <w:t> </w:t>
      </w:r>
      <w:r>
        <w:rPr>
          <w:spacing w:val="-9"/>
          <w:w w:val="100"/>
        </w:rPr>
        <w:t>证职工在公司治理中享有充分的权利；建立并施行符合《劳动法》、《劳动合同法》的用工管理制度，</w:t>
      </w:r>
      <w:r>
        <w:rPr>
          <w:spacing w:val="-97"/>
          <w:w w:val="100"/>
        </w:rPr>
        <w:t> </w:t>
      </w:r>
      <w:r>
        <w:rPr>
          <w:spacing w:val="-97"/>
          <w:w w:val="100"/>
        </w:rPr>
      </w:r>
      <w:r>
        <w:rPr/>
        <w:t>公司按国家规定和标准提供社会统筹和各项保障，签劳动合同，休带薪年休假，提供健康、安全的</w:t>
      </w:r>
      <w:r>
        <w:rPr>
          <w:w w:val="100"/>
        </w:rPr>
        <w:t> </w:t>
      </w:r>
      <w:r>
        <w:rPr/>
        <w:t>工作环境，开展各种相关培训，对涉及职工切身利益的事项，通过职工代表大会、工会会议的形式</w:t>
      </w:r>
      <w:r>
        <w:rPr>
          <w:w w:val="100"/>
        </w:rPr>
        <w:t> </w:t>
      </w:r>
      <w:r>
        <w:rPr/>
        <w:t>听取意见，关心和重视职工的合理要求，保障员工工资及福利。</w:t>
      </w:r>
    </w:p>
    <w:p>
      <w:pPr>
        <w:pStyle w:val="BodyText"/>
        <w:spacing w:line="273" w:lineRule="auto"/>
        <w:ind w:left="393" w:right="433" w:firstLine="420"/>
        <w:jc w:val="both"/>
      </w:pPr>
      <w:r>
        <w:rPr>
          <w:spacing w:val="-2"/>
        </w:rPr>
        <w:t>长实通信报告期开展了管理干部能力提升培训班、员工特种作业（电工证、登高证、焊工证）</w:t>
      </w:r>
      <w:r>
        <w:rPr>
          <w:w w:val="100"/>
        </w:rPr>
        <w:t> </w:t>
      </w:r>
      <w:r>
        <w:rPr>
          <w:spacing w:val="-2"/>
        </w:rPr>
        <w:t>等各种相关培训，每周组织员工开展小组足球比赛、骑行活动；参加迷你彩跑、召开趣味运动会等</w:t>
      </w:r>
      <w:r>
        <w:rPr>
          <w:spacing w:val="-45"/>
        </w:rPr>
        <w:t> </w:t>
      </w:r>
      <w:r>
        <w:rPr>
          <w:spacing w:val="-45"/>
        </w:rPr>
      </w:r>
      <w:r>
        <w:rPr/>
        <w:t>有益健康的业余活动。</w:t>
      </w:r>
    </w:p>
    <w:p>
      <w:pPr>
        <w:pStyle w:val="BodyText"/>
        <w:spacing w:line="273" w:lineRule="auto"/>
        <w:ind w:left="393" w:right="433" w:firstLine="420"/>
        <w:jc w:val="both"/>
      </w:pPr>
      <w:r>
        <w:rPr>
          <w:spacing w:val="-2"/>
        </w:rPr>
        <w:t>创世漫道通过科学有效的绩效考核管理机制，进一步完善公司薪酬体系，充分发挥薪酬的激励</w:t>
      </w:r>
      <w:r>
        <w:rPr>
          <w:w w:val="100"/>
        </w:rPr>
        <w:t> </w:t>
      </w:r>
      <w:r>
        <w:rPr>
          <w:spacing w:val="-2"/>
        </w:rPr>
        <w:t>作用，为员工提供广阔的发展平台；通过组织户外拓展、羽毛球、乒乓球、篮球兴趣小组等文体活</w:t>
      </w:r>
      <w:r>
        <w:rPr>
          <w:spacing w:val="-47"/>
        </w:rPr>
        <w:t> </w:t>
      </w:r>
      <w:r>
        <w:rPr>
          <w:spacing w:val="-47"/>
        </w:rPr>
      </w:r>
      <w:r>
        <w:rPr>
          <w:spacing w:val="-2"/>
        </w:rPr>
        <w:t>动，组织员工参加了海淀区街道组织的篮球比赛，活跃员工业余生活；通过向海淀园区申请公司人</w:t>
      </w:r>
      <w:r>
        <w:rPr>
          <w:spacing w:val="-49"/>
        </w:rPr>
        <w:t> </w:t>
      </w:r>
      <w:r>
        <w:rPr>
          <w:spacing w:val="-49"/>
        </w:rPr>
      </w:r>
      <w:r>
        <w:rPr>
          <w:spacing w:val="-2"/>
        </w:rPr>
        <w:t>才公租房，解决部分员工住房问题；通过对办公区的改造、美化，塑造员工更为舒适的工作环境；</w:t>
      </w:r>
      <w:r>
        <w:rPr>
          <w:spacing w:val="-25"/>
        </w:rPr>
        <w:t> </w:t>
      </w:r>
      <w:r>
        <w:rPr>
          <w:spacing w:val="-25"/>
        </w:rPr>
      </w:r>
      <w:r>
        <w:rPr>
          <w:spacing w:val="-2"/>
        </w:rPr>
        <w:t>还定期以邮件、短信、板报的形式提示员工在上下班驾车和乘坐公共交通工具时，注意出行交通安</w:t>
      </w:r>
      <w:r>
        <w:rPr>
          <w:spacing w:val="-44"/>
        </w:rPr>
        <w:t> </w:t>
      </w:r>
      <w:r>
        <w:rPr>
          <w:spacing w:val="-44"/>
        </w:rPr>
      </w:r>
      <w:r>
        <w:rPr>
          <w:spacing w:val="-2"/>
        </w:rPr>
        <w:t>全，树立文明的交通安全意识，增强交通法制观念，为营造平安、和谐、有序的公共交通环境尽自</w:t>
      </w:r>
      <w:r>
        <w:rPr>
          <w:spacing w:val="-47"/>
        </w:rPr>
        <w:t> </w:t>
      </w:r>
      <w:r>
        <w:rPr>
          <w:spacing w:val="-47"/>
        </w:rPr>
      </w:r>
      <w:r>
        <w:rPr/>
        <w:t>己的一份责任。</w:t>
      </w:r>
    </w:p>
    <w:p>
      <w:pPr>
        <w:spacing w:after="0" w:line="273" w:lineRule="auto"/>
        <w:jc w:val="both"/>
        <w:sectPr>
          <w:pgSz w:w="11910" w:h="16840"/>
          <w:pgMar w:header="884" w:footer="1000" w:top="1140" w:bottom="1200" w:left="1080" w:right="960"/>
        </w:sectPr>
      </w:pPr>
    </w:p>
    <w:p>
      <w:pPr>
        <w:pStyle w:val="BodyText"/>
        <w:spacing w:line="273" w:lineRule="auto" w:before="131"/>
        <w:ind w:left="393" w:right="452" w:firstLine="420"/>
        <w:jc w:val="both"/>
      </w:pPr>
      <w:r>
        <w:rPr/>
        <w:t>(3)</w:t>
      </w:r>
      <w:r>
        <w:rPr>
          <w:spacing w:val="-22"/>
        </w:rPr>
        <w:t> </w:t>
      </w:r>
      <w:r>
        <w:rPr/>
        <w:t>诚信对待供应商、客户和消费者。公司采取学习宣传教育、健全举报查处制度、规范签约</w:t>
      </w:r>
      <w:r>
        <w:rPr>
          <w:w w:val="100"/>
        </w:rPr>
        <w:t> </w:t>
      </w:r>
      <w:r>
        <w:rPr>
          <w:spacing w:val="-2"/>
        </w:rPr>
        <w:t>采购流程等措施反商业贿赂，没有通过贿赂等非法活动牟取不正当利益。公司以双方平等协商签订</w:t>
      </w:r>
      <w:r>
        <w:rPr>
          <w:spacing w:val="-45"/>
        </w:rPr>
        <w:t> </w:t>
      </w:r>
      <w:r>
        <w:rPr>
          <w:spacing w:val="-45"/>
        </w:rPr>
      </w:r>
      <w:r>
        <w:rPr>
          <w:spacing w:val="-2"/>
        </w:rPr>
        <w:t>的合同确认供应商、客户的权利、义务，通过拓展服务范围和提升服务质量以满足客户的多元化需</w:t>
      </w:r>
      <w:r>
        <w:rPr>
          <w:spacing w:val="-46"/>
        </w:rPr>
        <w:t> </w:t>
      </w:r>
      <w:r>
        <w:rPr>
          <w:spacing w:val="-46"/>
        </w:rPr>
      </w:r>
      <w:r>
        <w:rPr/>
        <w:t>求，不断提升客户满意度。</w:t>
      </w:r>
    </w:p>
    <w:p>
      <w:pPr>
        <w:pStyle w:val="BodyText"/>
        <w:spacing w:line="273" w:lineRule="auto"/>
        <w:ind w:left="393" w:right="450" w:firstLine="420"/>
        <w:jc w:val="both"/>
      </w:pPr>
      <w:r>
        <w:rPr>
          <w:spacing w:val="-2"/>
        </w:rPr>
        <w:t>长实通信采取学习宣传教育、健全举报查处制度、规范签约采购流程等措施反商业贿赂，成立</w:t>
      </w:r>
      <w:r>
        <w:rPr>
          <w:w w:val="100"/>
        </w:rPr>
        <w:t> </w:t>
      </w:r>
      <w:r>
        <w:rPr/>
        <w:t>审计监察部，组织相关人员召开反腐倡廉教育会议，与管理干部签订了廉洁从业承诺书。</w:t>
      </w:r>
    </w:p>
    <w:p>
      <w:pPr>
        <w:pStyle w:val="BodyText"/>
        <w:spacing w:line="273" w:lineRule="auto"/>
        <w:ind w:left="393" w:right="452" w:firstLine="420"/>
        <w:jc w:val="both"/>
      </w:pPr>
      <w:r>
        <w:rPr>
          <w:spacing w:val="-2"/>
        </w:rPr>
        <w:t>创世漫道以一切源自用心，感动所有人，以客户为中心的服务理念，构造服务保障机制，提高</w:t>
      </w:r>
      <w:r>
        <w:rPr>
          <w:w w:val="100"/>
        </w:rPr>
        <w:t> </w:t>
      </w:r>
      <w:r>
        <w:rPr/>
        <w:t>员工服务素质，凭借多年来良好的服务及声誉，与主要客户之间的合作关系一直保持稳定。</w:t>
      </w:r>
    </w:p>
    <w:p>
      <w:pPr>
        <w:pStyle w:val="BodyText"/>
        <w:spacing w:line="273" w:lineRule="auto"/>
        <w:ind w:left="393" w:right="455" w:firstLine="420"/>
        <w:jc w:val="both"/>
      </w:pPr>
      <w:r>
        <w:rPr/>
        <w:t>(4)</w:t>
      </w:r>
      <w:r>
        <w:rPr>
          <w:spacing w:val="-25"/>
        </w:rPr>
        <w:t> </w:t>
      </w:r>
      <w:r>
        <w:rPr/>
        <w:t>公司遵循自愿、公平、等价有偿、诚实信用的原则，遵守社会公德、商业道德，接受政府</w:t>
      </w:r>
      <w:r>
        <w:rPr>
          <w:w w:val="100"/>
        </w:rPr>
        <w:t> </w:t>
      </w:r>
      <w:r>
        <w:rPr>
          <w:spacing w:val="-2"/>
        </w:rPr>
        <w:t>和社会公众的监督，没有侵犯他人的商标权、专利权和著作权等知识产权，没有从事不正当竞争行</w:t>
      </w:r>
      <w:r>
        <w:rPr>
          <w:spacing w:val="-49"/>
        </w:rPr>
        <w:t> </w:t>
      </w:r>
      <w:r>
        <w:rPr>
          <w:spacing w:val="-49"/>
        </w:rPr>
      </w:r>
      <w:r>
        <w:rPr/>
        <w:t>为。</w:t>
      </w:r>
    </w:p>
    <w:p>
      <w:pPr>
        <w:pStyle w:val="BodyText"/>
        <w:spacing w:line="273" w:lineRule="auto"/>
        <w:ind w:left="813" w:right="342"/>
        <w:jc w:val="left"/>
      </w:pPr>
      <w:r>
        <w:rPr/>
        <w:t>3、环境保护和可持续发展</w:t>
      </w:r>
      <w:r>
        <w:rPr>
          <w:w w:val="100"/>
        </w:rPr>
        <w:t> </w:t>
      </w:r>
      <w:r>
        <w:rPr>
          <w:spacing w:val="-2"/>
        </w:rPr>
        <w:t>公司信息传输、网络维护业务属于绿色可持续发展行业，没有高能耗、污染物排放，通信网络</w:t>
      </w:r>
    </w:p>
    <w:p>
      <w:pPr>
        <w:pStyle w:val="BodyText"/>
        <w:spacing w:line="273" w:lineRule="auto"/>
        <w:ind w:left="393" w:right="342"/>
        <w:jc w:val="left"/>
      </w:pPr>
      <w:r>
        <w:rPr>
          <w:spacing w:val="-5"/>
        </w:rPr>
        <w:t>维护及相关业务注重环保和使用倡导的环保材料。在日常的经营活动中，公司和员工积极践行低碳、</w:t>
      </w:r>
      <w:r>
        <w:rPr>
          <w:spacing w:val="-16"/>
        </w:rPr>
        <w:t> </w:t>
      </w:r>
      <w:r>
        <w:rPr>
          <w:spacing w:val="-16"/>
        </w:rPr>
      </w:r>
      <w:r>
        <w:rPr/>
        <w:t>环保和可持续发展的理念，合理用电、用水、用纸，养成节约习惯，提倡绿色办公，及时关闭不使</w:t>
      </w:r>
      <w:r>
        <w:rPr>
          <w:w w:val="100"/>
        </w:rPr>
        <w:t> </w:t>
      </w:r>
      <w:r>
        <w:rPr/>
        <w:t>用的电脑、灯具，充分利用再生纸，外出时尽可能乘坐公共交通工具。</w:t>
      </w:r>
    </w:p>
    <w:p>
      <w:pPr>
        <w:pStyle w:val="BodyText"/>
        <w:spacing w:line="273" w:lineRule="auto" w:before="8"/>
        <w:ind w:left="813" w:right="342"/>
        <w:jc w:val="left"/>
      </w:pPr>
      <w:r>
        <w:rPr/>
        <w:t>4、公共关系和社会公益事业</w:t>
      </w:r>
      <w:r>
        <w:rPr>
          <w:w w:val="100"/>
        </w:rPr>
        <w:t> </w:t>
      </w:r>
      <w:r>
        <w:rPr>
          <w:spacing w:val="-2"/>
        </w:rPr>
        <w:t>长实通信在台风、泥石流、龙卷风、地震、水灾、冰灾、火灾、雪灾、重大会议及重大活动等</w:t>
      </w:r>
    </w:p>
    <w:p>
      <w:pPr>
        <w:pStyle w:val="BodyText"/>
        <w:spacing w:line="273" w:lineRule="auto"/>
        <w:ind w:left="393" w:right="342"/>
        <w:jc w:val="left"/>
      </w:pPr>
      <w:r>
        <w:rPr>
          <w:spacing w:val="-5"/>
        </w:rPr>
        <w:t>灾害发生时，为了保障各地通信网络畅通，累计投入</w:t>
      </w:r>
      <w:r>
        <w:rPr>
          <w:spacing w:val="-43"/>
        </w:rPr>
        <w:t> </w:t>
      </w:r>
      <w:r>
        <w:rPr/>
        <w:t>9,860</w:t>
      </w:r>
      <w:r>
        <w:rPr>
          <w:spacing w:val="-43"/>
        </w:rPr>
        <w:t> </w:t>
      </w:r>
      <w:r>
        <w:rPr/>
        <w:t>余人次及</w:t>
      </w:r>
      <w:r>
        <w:rPr>
          <w:spacing w:val="-43"/>
        </w:rPr>
        <w:t> </w:t>
      </w:r>
      <w:r>
        <w:rPr/>
        <w:t>3,890</w:t>
      </w:r>
      <w:r>
        <w:rPr>
          <w:spacing w:val="-46"/>
        </w:rPr>
        <w:t> </w:t>
      </w:r>
      <w:r>
        <w:rPr>
          <w:spacing w:val="-5"/>
        </w:rPr>
        <w:t>余车次，协助当地政府、</w:t>
      </w:r>
      <w:r>
        <w:rPr>
          <w:spacing w:val="-101"/>
        </w:rPr>
        <w:t> </w:t>
      </w:r>
      <w:r>
        <w:rPr>
          <w:spacing w:val="-101"/>
        </w:rPr>
      </w:r>
      <w:r>
        <w:rPr>
          <w:spacing w:val="-7"/>
        </w:rPr>
        <w:t>运营商及铁塔公司进行通信网络的抢修及维护。特别是在福建双台风“纳沙”、“海棠”和广东“天</w:t>
      </w:r>
      <w:r>
        <w:rPr>
          <w:spacing w:val="-34"/>
        </w:rPr>
        <w:t> </w:t>
      </w:r>
      <w:r>
        <w:rPr>
          <w:spacing w:val="-34"/>
        </w:rPr>
      </w:r>
      <w:r>
        <w:rPr/>
        <w:t>鸽”等台风期间和党的十九大会议召开、厦门金砖国家领导人会晤、第十三届全运会等重大通信保</w:t>
      </w:r>
      <w:r>
        <w:rPr>
          <w:w w:val="100"/>
        </w:rPr>
        <w:t> </w:t>
      </w:r>
      <w:r>
        <w:rPr/>
        <w:t>障期间出动支援人员</w:t>
      </w:r>
      <w:r>
        <w:rPr>
          <w:spacing w:val="-54"/>
        </w:rPr>
        <w:t> </w:t>
      </w:r>
      <w:r>
        <w:rPr/>
        <w:t>5,380</w:t>
      </w:r>
      <w:r>
        <w:rPr>
          <w:spacing w:val="-54"/>
        </w:rPr>
        <w:t> </w:t>
      </w:r>
      <w:r>
        <w:rPr/>
        <w:t>人次，调入车辆支援</w:t>
      </w:r>
      <w:r>
        <w:rPr>
          <w:spacing w:val="-54"/>
        </w:rPr>
        <w:t> </w:t>
      </w:r>
      <w:r>
        <w:rPr/>
        <w:t>850</w:t>
      </w:r>
      <w:r>
        <w:rPr>
          <w:spacing w:val="-54"/>
        </w:rPr>
        <w:t> </w:t>
      </w:r>
      <w:r>
        <w:rPr>
          <w:spacing w:val="-3"/>
        </w:rPr>
        <w:t>车次，配置发电机</w:t>
      </w:r>
      <w:r>
        <w:rPr>
          <w:spacing w:val="-54"/>
        </w:rPr>
        <w:t> </w:t>
      </w:r>
      <w:r>
        <w:rPr/>
        <w:t>3,860</w:t>
      </w:r>
      <w:r>
        <w:rPr>
          <w:spacing w:val="-54"/>
        </w:rPr>
        <w:t> </w:t>
      </w:r>
      <w:r>
        <w:rPr/>
        <w:t>台次，为保障网络通</w:t>
      </w:r>
      <w:r>
        <w:rPr>
          <w:w w:val="100"/>
        </w:rPr>
        <w:t> </w:t>
      </w:r>
      <w:r>
        <w:rPr/>
        <w:t>信畅通做出了突出贡献，获得了当地政府和运营商的一致好评。</w:t>
      </w:r>
    </w:p>
    <w:p>
      <w:pPr>
        <w:pStyle w:val="BodyText"/>
        <w:spacing w:line="273" w:lineRule="auto" w:before="8"/>
        <w:ind w:left="393" w:right="450" w:firstLine="420"/>
        <w:jc w:val="both"/>
      </w:pPr>
      <w:r>
        <w:rPr>
          <w:spacing w:val="-2"/>
        </w:rPr>
        <w:t>长实通信为响应政府号召对口帮扶政策，捐赠清新区龙颈镇河洞村委会凤塱村黄亦新种植户对</w:t>
      </w:r>
      <w:r>
        <w:rPr>
          <w:w w:val="100"/>
        </w:rPr>
        <w:t> </w:t>
      </w:r>
      <w:r>
        <w:rPr/>
        <w:t>口帮扶脱贫</w:t>
      </w:r>
      <w:r>
        <w:rPr>
          <w:spacing w:val="-54"/>
        </w:rPr>
        <w:t> </w:t>
      </w:r>
      <w:r>
        <w:rPr/>
        <w:t>2</w:t>
      </w:r>
      <w:r>
        <w:rPr>
          <w:spacing w:val="-54"/>
        </w:rPr>
        <w:t> </w:t>
      </w:r>
      <w:r>
        <w:rPr/>
        <w:t>万元，清远连南寨岗山联村委会对口帮扶脱贫攻坚项目</w:t>
      </w:r>
      <w:r>
        <w:rPr>
          <w:spacing w:val="-54"/>
        </w:rPr>
        <w:t> </w:t>
      </w:r>
      <w:r>
        <w:rPr/>
        <w:t>3</w:t>
      </w:r>
      <w:r>
        <w:rPr>
          <w:spacing w:val="-56"/>
        </w:rPr>
        <w:t> </w:t>
      </w:r>
      <w:r>
        <w:rPr/>
        <w:t>万元。</w:t>
      </w:r>
    </w:p>
    <w:p>
      <w:pPr>
        <w:spacing w:line="240" w:lineRule="auto" w:before="6"/>
        <w:rPr>
          <w:rFonts w:ascii="宋体" w:hAnsi="宋体" w:cs="宋体" w:eastAsia="宋体" w:hint="default"/>
          <w:sz w:val="24"/>
          <w:szCs w:val="24"/>
        </w:rPr>
      </w:pPr>
    </w:p>
    <w:p>
      <w:pPr>
        <w:pStyle w:val="BodyText"/>
        <w:spacing w:line="273" w:lineRule="auto" w:before="0"/>
        <w:ind w:left="813" w:right="1174"/>
        <w:jc w:val="left"/>
      </w:pPr>
      <w:r>
        <w:rPr/>
        <w:t>二、履行精准扶贫社会责任情况</w:t>
      </w:r>
      <w:r>
        <w:rPr>
          <w:w w:val="100"/>
        </w:rPr>
        <w:t> </w:t>
      </w:r>
      <w:r>
        <w:rPr>
          <w:spacing w:val="-2"/>
        </w:rPr>
        <w:t>公司报告年度暂未开展精准扶贫工作，也暂无后续精准扶贫计划。</w:t>
      </w:r>
    </w:p>
    <w:p>
      <w:pPr>
        <w:spacing w:line="240" w:lineRule="auto" w:before="6"/>
        <w:rPr>
          <w:rFonts w:ascii="宋体" w:hAnsi="宋体" w:cs="宋体" w:eastAsia="宋体" w:hint="default"/>
          <w:sz w:val="24"/>
          <w:szCs w:val="24"/>
        </w:rPr>
      </w:pPr>
    </w:p>
    <w:p>
      <w:pPr>
        <w:pStyle w:val="BodyText"/>
        <w:spacing w:line="273" w:lineRule="auto" w:before="0"/>
        <w:ind w:left="813" w:right="342"/>
        <w:jc w:val="left"/>
      </w:pPr>
      <w:r>
        <w:rPr/>
        <w:t>三、环境保护相关情况</w:t>
      </w:r>
      <w:r>
        <w:rPr>
          <w:w w:val="100"/>
        </w:rPr>
        <w:t> </w:t>
      </w:r>
      <w:r>
        <w:rPr>
          <w:spacing w:val="-2"/>
        </w:rPr>
        <w:t>公司主业及辅业不发生破坏生态、不产生排放污染情形，公司及其子公司不属于环境保护部门</w:t>
      </w:r>
    </w:p>
    <w:p>
      <w:pPr>
        <w:pStyle w:val="BodyText"/>
        <w:spacing w:line="240" w:lineRule="auto" w:before="8"/>
        <w:ind w:left="393" w:right="1174"/>
        <w:jc w:val="left"/>
      </w:pPr>
      <w:r>
        <w:rPr/>
        <w:t>公布的排污单位。</w:t>
      </w:r>
    </w:p>
    <w:p>
      <w:pPr>
        <w:spacing w:line="240" w:lineRule="auto" w:before="9"/>
        <w:rPr>
          <w:rFonts w:ascii="宋体" w:hAnsi="宋体" w:cs="宋体" w:eastAsia="宋体" w:hint="default"/>
          <w:sz w:val="26"/>
          <w:szCs w:val="26"/>
        </w:rPr>
      </w:pPr>
    </w:p>
    <w:p>
      <w:pPr>
        <w:spacing w:before="0"/>
        <w:ind w:left="0" w:right="61" w:firstLine="0"/>
        <w:jc w:val="center"/>
        <w:rPr>
          <w:rFonts w:ascii="宋体" w:hAnsi="宋体" w:cs="宋体" w:eastAsia="宋体" w:hint="default"/>
          <w:sz w:val="21"/>
          <w:szCs w:val="21"/>
        </w:rPr>
      </w:pPr>
      <w:r>
        <w:rPr>
          <w:rFonts w:ascii="宋体" w:hAnsi="宋体" w:cs="宋体" w:eastAsia="宋体" w:hint="default"/>
          <w:b/>
          <w:bCs/>
          <w:sz w:val="21"/>
          <w:szCs w:val="21"/>
        </w:rPr>
        <w:t>第七节</w:t>
      </w:r>
      <w:r>
        <w:rPr>
          <w:rFonts w:ascii="宋体" w:hAnsi="宋体" w:cs="宋体" w:eastAsia="宋体" w:hint="default"/>
          <w:b/>
          <w:bCs/>
          <w:spacing w:val="2"/>
          <w:sz w:val="21"/>
          <w:szCs w:val="21"/>
        </w:rPr>
        <w:t> </w:t>
      </w:r>
      <w:r>
        <w:rPr>
          <w:rFonts w:ascii="宋体" w:hAnsi="宋体" w:cs="宋体" w:eastAsia="宋体" w:hint="default"/>
          <w:b/>
          <w:bCs/>
          <w:sz w:val="21"/>
          <w:szCs w:val="21"/>
        </w:rPr>
        <w:t>其他重大事项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73" w:lineRule="auto" w:before="0"/>
        <w:ind w:left="813" w:right="342"/>
        <w:jc w:val="left"/>
      </w:pPr>
      <w:r>
        <w:rPr/>
        <w:t>一、公司重大事项</w:t>
      </w:r>
      <w:r>
        <w:rPr>
          <w:w w:val="100"/>
        </w:rPr>
        <w:t> </w:t>
      </w:r>
      <w:r>
        <w:rPr/>
        <w:t>1、报告期公司开始重大资产重组，拟分别向刘英魁、嘉语春华、嘉惠秋实发行股份及支付现</w:t>
      </w:r>
    </w:p>
    <w:p>
      <w:pPr>
        <w:pStyle w:val="BodyText"/>
        <w:spacing w:line="273" w:lineRule="auto"/>
        <w:ind w:left="393" w:right="450"/>
        <w:jc w:val="both"/>
      </w:pPr>
      <w:r>
        <w:rPr/>
        <w:t>金购买其合计持有的嘉华信息</w:t>
      </w:r>
      <w:r>
        <w:rPr>
          <w:spacing w:val="-44"/>
        </w:rPr>
        <w:t> </w:t>
      </w:r>
      <w:r>
        <w:rPr/>
        <w:t>100%股权(作价合计</w:t>
      </w:r>
      <w:r>
        <w:rPr>
          <w:spacing w:val="-46"/>
        </w:rPr>
        <w:t> </w:t>
      </w:r>
      <w:r>
        <w:rPr/>
        <w:t>148,000</w:t>
      </w:r>
      <w:r>
        <w:rPr>
          <w:spacing w:val="-44"/>
        </w:rPr>
        <w:t> </w:t>
      </w:r>
      <w:r>
        <w:rPr>
          <w:spacing w:val="-6"/>
        </w:rPr>
        <w:t>万元)。其中，以现金方式购买嘉华信息</w:t>
      </w:r>
      <w:r>
        <w:rPr>
          <w:spacing w:val="-101"/>
        </w:rPr>
        <w:t> </w:t>
      </w:r>
      <w:r>
        <w:rPr>
          <w:spacing w:val="-101"/>
        </w:rPr>
      </w:r>
      <w:r>
        <w:rPr>
          <w:spacing w:val="-3"/>
        </w:rPr>
        <w:t>51%股权，在公司股东大会审议通过后实施；以发行股份方式购买嘉华信息 </w:t>
      </w:r>
      <w:r>
        <w:rPr>
          <w:spacing w:val="-4"/>
        </w:rPr>
        <w:t>49%股权，在获得公司股</w:t>
      </w:r>
      <w:r>
        <w:rPr>
          <w:spacing w:val="-84"/>
        </w:rPr>
        <w:t> </w:t>
      </w:r>
      <w:r>
        <w:rPr>
          <w:spacing w:val="-84"/>
        </w:rPr>
      </w:r>
      <w:r>
        <w:rPr>
          <w:spacing w:val="-2"/>
        </w:rPr>
        <w:t>东大会审议通过及中国证监会核准后实施。现金收购是后续发行股份收购剩余股份的基础，后续发</w:t>
      </w:r>
      <w:r>
        <w:rPr>
          <w:spacing w:val="-43"/>
        </w:rPr>
        <w:t> </w:t>
      </w:r>
      <w:r>
        <w:rPr>
          <w:spacing w:val="-43"/>
        </w:rPr>
      </w:r>
      <w:r>
        <w:rPr>
          <w:spacing w:val="-2"/>
        </w:rPr>
        <w:t>行股份是否获得监管部门核准不作为现金收购的前提条件。该事项尚存获得公司股东大会批准、证</w:t>
      </w:r>
      <w:r>
        <w:rPr>
          <w:spacing w:val="-43"/>
        </w:rPr>
        <w:t> </w:t>
      </w:r>
      <w:r>
        <w:rPr>
          <w:spacing w:val="-43"/>
        </w:rPr>
      </w:r>
      <w:r>
        <w:rPr/>
        <w:t>监会核准等不确定性风险。有关事项信息披露查询索引见下表</w:t>
      </w:r>
    </w:p>
    <w:tbl>
      <w:tblPr>
        <w:tblW w:w="0" w:type="auto"/>
        <w:jc w:val="left"/>
        <w:tblInd w:w="105" w:type="dxa"/>
        <w:tblLayout w:type="fixed"/>
        <w:tblCellMar>
          <w:top w:w="0" w:type="dxa"/>
          <w:left w:w="0" w:type="dxa"/>
          <w:bottom w:w="0" w:type="dxa"/>
          <w:right w:w="0" w:type="dxa"/>
        </w:tblCellMar>
        <w:tblLook w:val="01E0"/>
      </w:tblPr>
      <w:tblGrid>
        <w:gridCol w:w="1843"/>
        <w:gridCol w:w="6096"/>
        <w:gridCol w:w="1699"/>
      </w:tblGrid>
      <w:tr>
        <w:trPr>
          <w:trHeight w:val="40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指定网站</w:t>
            </w:r>
          </w:p>
        </w:tc>
        <w:tc>
          <w:tcPr>
            <w:tcW w:w="7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7">
              <w:r>
                <w:rPr>
                  <w:rFonts w:ascii="宋体" w:hAnsi="宋体" w:cs="宋体" w:eastAsia="宋体" w:hint="default"/>
                  <w:sz w:val="18"/>
                  <w:szCs w:val="18"/>
                </w:rPr>
                <w:t>巨潮资讯网：www.cninfo.com.cn</w:t>
              </w:r>
            </w:hyperlink>
          </w:p>
        </w:tc>
      </w:tr>
      <w:tr>
        <w:trPr>
          <w:trHeight w:val="408" w:hRule="exact"/>
        </w:trPr>
        <w:tc>
          <w:tcPr>
            <w:tcW w:w="79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信息披露标题(公告编号)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r>
    </w:tbl>
    <w:p>
      <w:pPr>
        <w:spacing w:after="0" w:line="240" w:lineRule="auto"/>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7939"/>
        <w:gridCol w:w="1699"/>
      </w:tblGrid>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茂业通信：公司关于重大事项停牌公告</w:t>
            </w:r>
            <w:r>
              <w:rPr>
                <w:rFonts w:ascii="宋体" w:hAnsi="宋体" w:cs="宋体" w:eastAsia="宋体" w:hint="default"/>
                <w:spacing w:val="16"/>
                <w:sz w:val="18"/>
                <w:szCs w:val="18"/>
              </w:rPr>
              <w:t> </w:t>
            </w:r>
            <w:r>
              <w:rPr>
                <w:rFonts w:ascii="宋体" w:hAnsi="宋体" w:cs="宋体" w:eastAsia="宋体" w:hint="default"/>
                <w:sz w:val="18"/>
                <w:szCs w:val="18"/>
              </w:rPr>
              <w:t>(公告编号：2017—34)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2017—04—14</w:t>
            </w: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茂业通信：董事会关于披露重大资产重组预案暨继续停牌公告</w:t>
            </w:r>
            <w:r>
              <w:rPr>
                <w:rFonts w:ascii="宋体" w:hAnsi="宋体" w:cs="宋体" w:eastAsia="宋体" w:hint="default"/>
                <w:spacing w:val="2"/>
                <w:sz w:val="18"/>
                <w:szCs w:val="18"/>
              </w:rPr>
              <w:t> </w:t>
            </w:r>
            <w:r>
              <w:rPr>
                <w:rFonts w:ascii="宋体" w:hAnsi="宋体" w:cs="宋体" w:eastAsia="宋体" w:hint="default"/>
                <w:sz w:val="18"/>
                <w:szCs w:val="18"/>
              </w:rPr>
              <w:t>(公告编号：2017—82)</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2017—10—11</w:t>
            </w: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茂业通信：董事会关于重大资产重组一般风险提示公告 (公告编号：2017—83)</w:t>
            </w:r>
          </w:p>
        </w:tc>
        <w:tc>
          <w:tcPr>
            <w:tcW w:w="1699" w:type="dxa"/>
            <w:vMerge/>
            <w:tcBorders>
              <w:left w:val="single" w:sz="4" w:space="0" w:color="000000"/>
              <w:bottom w:val="single" w:sz="4" w:space="0" w:color="000000"/>
              <w:right w:val="single" w:sz="4" w:space="0" w:color="000000"/>
            </w:tcBorders>
          </w:tcPr>
          <w:p>
            <w:pP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茂业通信：公司关于深交所《重组问询函》之回复报告 (公告编号：2017—89)</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4" w:right="0"/>
              <w:jc w:val="left"/>
              <w:rPr>
                <w:rFonts w:ascii="宋体" w:hAnsi="宋体" w:cs="宋体" w:eastAsia="宋体" w:hint="default"/>
                <w:sz w:val="18"/>
                <w:szCs w:val="18"/>
              </w:rPr>
            </w:pPr>
            <w:r>
              <w:rPr>
                <w:rFonts w:ascii="宋体" w:hAnsi="宋体" w:cs="宋体" w:eastAsia="宋体" w:hint="default"/>
                <w:sz w:val="18"/>
                <w:szCs w:val="18"/>
              </w:rPr>
              <w:t>2017—11—01</w:t>
            </w:r>
          </w:p>
        </w:tc>
      </w:tr>
      <w:tr>
        <w:trPr>
          <w:trHeight w:val="348"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茂业通信：公司关于证券复牌公告(公告编号：2017—90)</w:t>
            </w:r>
          </w:p>
        </w:tc>
        <w:tc>
          <w:tcPr>
            <w:tcW w:w="1699" w:type="dxa"/>
            <w:vMerge/>
            <w:tcBorders>
              <w:left w:val="single" w:sz="4" w:space="0" w:color="000000"/>
              <w:right w:val="single" w:sz="4" w:space="0" w:color="000000"/>
            </w:tcBorders>
          </w:tcPr>
          <w:p>
            <w:pP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茂业通信：公司发行股份及支付现金购买资产并募集配套资金暨关联交易预案(修订稿)</w:t>
            </w:r>
          </w:p>
        </w:tc>
        <w:tc>
          <w:tcPr>
            <w:tcW w:w="1699" w:type="dxa"/>
            <w:vMerge/>
            <w:tcBorders>
              <w:left w:val="single" w:sz="4" w:space="0" w:color="000000"/>
              <w:bottom w:val="single" w:sz="4" w:space="0" w:color="000000"/>
              <w:right w:val="single" w:sz="4" w:space="0" w:color="000000"/>
            </w:tcBorders>
          </w:tcPr>
          <w:p>
            <w:pP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茂业通信：公司第七届董事会</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年第四次会议决议公告(公告编号：2018—19)</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2018—03—28</w:t>
            </w: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茂业通信：公司关于本次重组重大调整的公告(公告编号：2018—21)</w:t>
            </w:r>
          </w:p>
        </w:tc>
        <w:tc>
          <w:tcPr>
            <w:tcW w:w="1699" w:type="dxa"/>
            <w:vMerge/>
            <w:tcBorders>
              <w:left w:val="single" w:sz="4" w:space="0" w:color="000000"/>
              <w:bottom w:val="single" w:sz="4" w:space="0" w:color="000000"/>
              <w:right w:val="single" w:sz="4" w:space="0" w:color="000000"/>
            </w:tcBorders>
          </w:tcPr>
          <w:p>
            <w:pP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茂业通信：公司关于深交所《重组问询函》之回复报告(公告编号：2018—31)</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2018—04—09</w:t>
            </w: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茂业通信：公司发行股份及支付现金购买资产并募集配套资金暨关联交易报告书(草案)(修订稿)</w:t>
            </w:r>
          </w:p>
        </w:tc>
        <w:tc>
          <w:tcPr>
            <w:tcW w:w="1699" w:type="dxa"/>
            <w:vMerge/>
            <w:tcBorders>
              <w:left w:val="single" w:sz="4" w:space="0" w:color="000000"/>
              <w:bottom w:val="single" w:sz="4" w:space="0" w:color="000000"/>
              <w:right w:val="single" w:sz="4" w:space="0" w:color="000000"/>
            </w:tcBorders>
          </w:tcPr>
          <w:p>
            <w:pPr/>
          </w:p>
        </w:tc>
      </w:tr>
      <w:tr>
        <w:trPr>
          <w:trHeight w:val="350"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茂业通信：公司关于召开</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年第三次临时股东大会的通知</w:t>
            </w: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其他重大事项查询索引</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43"/>
        <w:gridCol w:w="6662"/>
        <w:gridCol w:w="1133"/>
      </w:tblGrid>
      <w:tr>
        <w:trPr>
          <w:trHeight w:val="40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指定网站</w:t>
            </w:r>
          </w:p>
        </w:tc>
        <w:tc>
          <w:tcPr>
            <w:tcW w:w="7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hyperlink r:id="rId17">
              <w:r>
                <w:rPr>
                  <w:rFonts w:ascii="宋体" w:hAnsi="宋体" w:cs="宋体" w:eastAsia="宋体" w:hint="default"/>
                  <w:sz w:val="18"/>
                  <w:szCs w:val="18"/>
                </w:rPr>
                <w:t>巨潮资讯网：www.cninfo.com.cn</w:t>
              </w:r>
            </w:hyperlink>
          </w:p>
        </w:tc>
      </w:tr>
      <w:tr>
        <w:trPr>
          <w:trHeight w:val="408" w:hRule="exact"/>
        </w:trPr>
        <w:tc>
          <w:tcPr>
            <w:tcW w:w="8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信息披露标题(公告编号)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50" w:hRule="exact"/>
        </w:trPr>
        <w:tc>
          <w:tcPr>
            <w:tcW w:w="8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茂业通信：持股5%以上大股东中兆投资及其一致行动人减持计划的提示性公告(公告编号：2017—91)</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2017-11-01</w:t>
            </w:r>
          </w:p>
        </w:tc>
      </w:tr>
      <w:tr>
        <w:trPr>
          <w:trHeight w:val="348" w:hRule="exact"/>
        </w:trPr>
        <w:tc>
          <w:tcPr>
            <w:tcW w:w="8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茂业通信：持股</w:t>
            </w:r>
            <w:r>
              <w:rPr>
                <w:rFonts w:ascii="宋体" w:hAnsi="宋体" w:cs="宋体" w:eastAsia="宋体" w:hint="default"/>
                <w:spacing w:val="-44"/>
                <w:sz w:val="18"/>
                <w:szCs w:val="18"/>
              </w:rPr>
              <w:t> </w:t>
            </w:r>
            <w:r>
              <w:rPr>
                <w:rFonts w:ascii="宋体" w:hAnsi="宋体" w:cs="宋体" w:eastAsia="宋体" w:hint="default"/>
                <w:sz w:val="18"/>
                <w:szCs w:val="18"/>
              </w:rPr>
              <w:t>5%以上大股东鹰溪谷的一致行动人上海峰幽减持计划的提示性公告(公告编号：2017-92)</w:t>
            </w:r>
          </w:p>
        </w:tc>
        <w:tc>
          <w:tcPr>
            <w:tcW w:w="1133" w:type="dxa"/>
            <w:vMerge/>
            <w:tcBorders>
              <w:left w:val="single" w:sz="4" w:space="0" w:color="000000"/>
              <w:bottom w:val="single" w:sz="4" w:space="0" w:color="000000"/>
              <w:right w:val="single" w:sz="4" w:space="0" w:color="000000"/>
            </w:tcBorders>
          </w:tcPr>
          <w:p>
            <w:pPr/>
          </w:p>
        </w:tc>
      </w:tr>
      <w:tr>
        <w:trPr>
          <w:trHeight w:val="350" w:hRule="exact"/>
        </w:trPr>
        <w:tc>
          <w:tcPr>
            <w:tcW w:w="8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茂业通信：持股</w:t>
            </w:r>
            <w:r>
              <w:rPr>
                <w:rFonts w:ascii="宋体" w:hAnsi="宋体" w:cs="宋体" w:eastAsia="宋体" w:hint="default"/>
                <w:spacing w:val="-44"/>
                <w:sz w:val="18"/>
                <w:szCs w:val="18"/>
              </w:rPr>
              <w:t> </w:t>
            </w:r>
            <w:r>
              <w:rPr>
                <w:rFonts w:ascii="宋体" w:hAnsi="宋体" w:cs="宋体" w:eastAsia="宋体" w:hint="default"/>
                <w:sz w:val="18"/>
                <w:szCs w:val="18"/>
              </w:rPr>
              <w:t>5%以上大股东中兆投资及其一致行动人减持计划进展情况公告(公告编号：2018—10)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2018-02-22</w:t>
            </w:r>
          </w:p>
        </w:tc>
      </w:tr>
      <w:tr>
        <w:trPr>
          <w:trHeight w:val="350" w:hRule="exact"/>
        </w:trPr>
        <w:tc>
          <w:tcPr>
            <w:tcW w:w="8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茂业通信：持股5%以上大股东鹰溪谷的一致行动人上海峰幽减持计划进展情况公告(公告编号：2018—18)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2018-03-22</w:t>
            </w: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2、报告期补缴税款及滞纳金事项</w:t>
      </w:r>
    </w:p>
    <w:p>
      <w:pPr>
        <w:pStyle w:val="BodyText"/>
        <w:spacing w:line="240" w:lineRule="auto" w:before="37"/>
        <w:ind w:left="813" w:right="342"/>
        <w:jc w:val="left"/>
      </w:pPr>
      <w:r>
        <w:rPr/>
        <w:t>2015 年公司实施重大资产出售，将茂业控股</w:t>
      </w:r>
      <w:r>
        <w:rPr>
          <w:spacing w:val="-24"/>
        </w:rPr>
        <w:t> </w:t>
      </w:r>
      <w:r>
        <w:rPr/>
        <w:t>100%的股权(简称标的资产)出售给公司当时的控</w:t>
      </w:r>
    </w:p>
    <w:p>
      <w:pPr>
        <w:pStyle w:val="BodyText"/>
        <w:spacing w:line="273" w:lineRule="auto" w:before="37"/>
        <w:ind w:left="393" w:right="450"/>
        <w:jc w:val="both"/>
      </w:pPr>
      <w:r>
        <w:rPr/>
        <w:t>股股东中兆投资管理有限公司(简称中兆投资)(有关详情可查阅</w:t>
      </w:r>
      <w:r>
        <w:rPr>
          <w:spacing w:val="-41"/>
        </w:rPr>
        <w:t> </w:t>
      </w:r>
      <w:r>
        <w:rPr/>
        <w:t>2015</w:t>
      </w:r>
      <w:r>
        <w:rPr>
          <w:spacing w:val="-41"/>
        </w:rPr>
        <w:t> </w:t>
      </w:r>
      <w:r>
        <w:rPr/>
        <w:t>年</w:t>
      </w:r>
      <w:r>
        <w:rPr>
          <w:spacing w:val="-38"/>
        </w:rPr>
        <w:t> </w:t>
      </w:r>
      <w:r>
        <w:rPr/>
        <w:t>9</w:t>
      </w:r>
      <w:r>
        <w:rPr>
          <w:spacing w:val="-38"/>
        </w:rPr>
        <w:t> </w:t>
      </w:r>
      <w:r>
        <w:rPr/>
        <w:t>月</w:t>
      </w:r>
      <w:r>
        <w:rPr>
          <w:spacing w:val="-41"/>
        </w:rPr>
        <w:t> </w:t>
      </w:r>
      <w:r>
        <w:rPr/>
        <w:t>30</w:t>
      </w:r>
      <w:r>
        <w:rPr>
          <w:spacing w:val="-38"/>
        </w:rPr>
        <w:t> </w:t>
      </w:r>
      <w:r>
        <w:rPr/>
        <w:t>日刊载于巨潮资讯</w:t>
      </w:r>
      <w:r>
        <w:rPr>
          <w:w w:val="100"/>
        </w:rPr>
        <w:t> </w:t>
      </w:r>
      <w:r>
        <w:rPr>
          <w:spacing w:val="-3"/>
        </w:rPr>
        <w:t>网的《公司重大资产出售暨关联交易报告书》)，并于</w:t>
      </w:r>
      <w:r>
        <w:rPr>
          <w:spacing w:val="-45"/>
        </w:rPr>
        <w:t> </w:t>
      </w:r>
      <w:r>
        <w:rPr/>
        <w:t>2015</w:t>
      </w:r>
      <w:r>
        <w:rPr>
          <w:spacing w:val="-45"/>
        </w:rPr>
        <w:t> </w:t>
      </w:r>
      <w:r>
        <w:rPr/>
        <w:t>年</w:t>
      </w:r>
      <w:r>
        <w:rPr>
          <w:spacing w:val="-47"/>
        </w:rPr>
        <w:t> </w:t>
      </w:r>
      <w:r>
        <w:rPr/>
        <w:t>10</w:t>
      </w:r>
      <w:r>
        <w:rPr>
          <w:spacing w:val="-47"/>
        </w:rPr>
        <w:t> </w:t>
      </w:r>
      <w:r>
        <w:rPr/>
        <w:t>月</w:t>
      </w:r>
      <w:r>
        <w:rPr>
          <w:spacing w:val="-45"/>
        </w:rPr>
        <w:t> </w:t>
      </w:r>
      <w:r>
        <w:rPr/>
        <w:t>26</w:t>
      </w:r>
      <w:r>
        <w:rPr>
          <w:spacing w:val="-47"/>
        </w:rPr>
        <w:t> </w:t>
      </w:r>
      <w:r>
        <w:rPr/>
        <w:t>日(即交割日)将上述茂业控</w:t>
      </w:r>
      <w:r>
        <w:rPr>
          <w:spacing w:val="-101"/>
        </w:rPr>
        <w:t> </w:t>
      </w:r>
      <w:r>
        <w:rPr>
          <w:spacing w:val="-101"/>
        </w:rPr>
      </w:r>
      <w:r>
        <w:rPr/>
        <w:t>股</w:t>
      </w:r>
      <w:r>
        <w:rPr>
          <w:spacing w:val="-43"/>
        </w:rPr>
        <w:t> </w:t>
      </w:r>
      <w:r>
        <w:rPr>
          <w:spacing w:val="-4"/>
        </w:rPr>
        <w:t>100%的股权变更登记至中兆投资名下。根据本公司(甲方)与中兆投资(乙方)于</w:t>
      </w:r>
      <w:r>
        <w:rPr>
          <w:spacing w:val="-43"/>
        </w:rPr>
        <w:t> </w:t>
      </w:r>
      <w:r>
        <w:rPr/>
        <w:t>2015</w:t>
      </w:r>
      <w:r>
        <w:rPr>
          <w:spacing w:val="-43"/>
        </w:rPr>
        <w:t> </w:t>
      </w:r>
      <w:r>
        <w:rPr/>
        <w:t>年</w:t>
      </w:r>
      <w:r>
        <w:rPr>
          <w:spacing w:val="-45"/>
        </w:rPr>
        <w:t> </w:t>
      </w:r>
      <w:r>
        <w:rPr/>
        <w:t>9</w:t>
      </w:r>
      <w:r>
        <w:rPr>
          <w:spacing w:val="-43"/>
        </w:rPr>
        <w:t> </w:t>
      </w:r>
      <w:r>
        <w:rPr/>
        <w:t>月</w:t>
      </w:r>
      <w:r>
        <w:rPr>
          <w:spacing w:val="-45"/>
        </w:rPr>
        <w:t> </w:t>
      </w:r>
      <w:r>
        <w:rPr/>
        <w:t>29</w:t>
      </w:r>
      <w:r>
        <w:rPr>
          <w:spacing w:val="-43"/>
        </w:rPr>
        <w:t> </w:t>
      </w:r>
      <w:r>
        <w:rPr/>
        <w:t>签</w:t>
      </w:r>
      <w:r>
        <w:rPr>
          <w:spacing w:val="-100"/>
        </w:rPr>
        <w:t> </w:t>
      </w:r>
      <w:r>
        <w:rPr>
          <w:spacing w:val="-100"/>
        </w:rPr>
      </w:r>
      <w:r>
        <w:rPr>
          <w:spacing w:val="-5"/>
          <w:w w:val="100"/>
        </w:rPr>
        <w:t>订的《资产出售协议》(简称协议)第二条第四款“2.4</w:t>
      </w:r>
      <w:r>
        <w:rPr>
          <w:spacing w:val="29"/>
          <w:w w:val="100"/>
        </w:rPr>
        <w:t> </w:t>
      </w:r>
      <w:r>
        <w:rPr>
          <w:spacing w:val="-10"/>
          <w:w w:val="100"/>
        </w:rPr>
        <w:t>标的资产的权利转移和风险承担”规定：“甲</w:t>
      </w:r>
      <w:r>
        <w:rPr>
          <w:spacing w:val="-98"/>
          <w:w w:val="100"/>
        </w:rPr>
        <w:t> </w:t>
      </w:r>
      <w:r>
        <w:rPr>
          <w:spacing w:val="-98"/>
          <w:w w:val="100"/>
        </w:rPr>
      </w:r>
      <w:r>
        <w:rPr>
          <w:spacing w:val="-2"/>
        </w:rPr>
        <w:t>乙双方同意并确认，标的资产的权利和风险自交割日发生转移，乙方自交割日起即为标的资产的唯</w:t>
      </w:r>
      <w:r>
        <w:rPr>
          <w:spacing w:val="-46"/>
        </w:rPr>
        <w:t> </w:t>
      </w:r>
      <w:r>
        <w:rPr>
          <w:spacing w:val="-46"/>
        </w:rPr>
      </w:r>
      <w:r>
        <w:rPr/>
        <w:t>一的所有权和/或使用人，标的资产的风险和费用自交割日起全部由乙方承担，甲方不再承担任何</w:t>
      </w:r>
      <w:r>
        <w:rPr>
          <w:spacing w:val="-22"/>
        </w:rPr>
        <w:t> </w:t>
      </w:r>
      <w:r>
        <w:rPr>
          <w:spacing w:val="-22"/>
        </w:rPr>
      </w:r>
      <w:r>
        <w:rPr>
          <w:spacing w:val="-2"/>
        </w:rPr>
        <w:t>关于标的资产相关的风险和费用，如交割日后，甲方因标的资产而支付的任何费用、遭受的任何损</w:t>
      </w:r>
      <w:r>
        <w:rPr>
          <w:spacing w:val="-43"/>
        </w:rPr>
        <w:t> </w:t>
      </w:r>
      <w:r>
        <w:rPr>
          <w:spacing w:val="-43"/>
        </w:rPr>
      </w:r>
      <w:r>
        <w:rPr>
          <w:spacing w:val="-2"/>
          <w:w w:val="100"/>
        </w:rPr>
        <w:t>失等，均有权向乙方要求赔偿和补偿。”交割日后，甲方因标的资产而支付的任何费用、遭受的任</w:t>
      </w:r>
      <w:r>
        <w:rPr>
          <w:spacing w:val="-92"/>
          <w:w w:val="100"/>
        </w:rPr>
        <w:t> </w:t>
      </w:r>
      <w:r>
        <w:rPr>
          <w:spacing w:val="-92"/>
          <w:w w:val="100"/>
        </w:rPr>
      </w:r>
      <w:r>
        <w:rPr/>
        <w:t>何损失等，均有权向乙方要求赔偿和补偿。</w:t>
      </w:r>
    </w:p>
    <w:p>
      <w:pPr>
        <w:pStyle w:val="BodyText"/>
        <w:spacing w:line="273" w:lineRule="auto"/>
        <w:ind w:left="393" w:right="342" w:firstLine="420"/>
        <w:jc w:val="left"/>
      </w:pPr>
      <w:r>
        <w:rPr/>
        <w:t>2016年7月12日，秦皇岛市国税稽查局(简称秦国税稽查局)向公司发出《秦皇岛市国家税务局</w:t>
      </w:r>
      <w:r>
        <w:rPr>
          <w:w w:val="100"/>
        </w:rPr>
        <w:t> </w:t>
      </w:r>
      <w:r>
        <w:rPr/>
        <w:t>稽查局税务检查通知书》，通知书内容：“根据《中华人民共和国税收征收管理法》第五十四条规</w:t>
      </w:r>
      <w:r>
        <w:rPr>
          <w:w w:val="100"/>
        </w:rPr>
        <w:t> </w:t>
      </w:r>
      <w:r>
        <w:rPr/>
        <w:t>定，决定派人，自2016年7月12日起对你（单位）2013年1月1日至2015年12月31日期间（如检查发</w:t>
      </w:r>
      <w:r>
        <w:rPr>
          <w:spacing w:val="-25"/>
        </w:rPr>
        <w:t> </w:t>
      </w:r>
      <w:r>
        <w:rPr>
          <w:spacing w:val="-25"/>
        </w:rPr>
      </w:r>
      <w:r>
        <w:rPr/>
        <w:t>现此期间以外明显的税收违法嫌疑或线索不受此限）涉税情况进行检查。届时请依法接受检查，如</w:t>
      </w:r>
      <w:r>
        <w:rPr>
          <w:w w:val="100"/>
        </w:rPr>
        <w:t> </w:t>
      </w:r>
      <w:r>
        <w:rPr>
          <w:spacing w:val="-7"/>
        </w:rPr>
        <w:t>实反映情况，提供有关资料”。2017年4月12日，秦国税稽查局向公司发出《稽查预收税款情况表》， </w:t>
      </w:r>
      <w:r>
        <w:rPr>
          <w:spacing w:val="-7"/>
        </w:rPr>
      </w:r>
      <w:r>
        <w:rPr>
          <w:spacing w:val="-5"/>
        </w:rPr>
        <w:t>该表内容：(1)2013年应调增应纳税所得额2,037,731.49元，补缴企业所得税509,432.87元；(2)2014</w:t>
      </w:r>
      <w:r>
        <w:rPr>
          <w:spacing w:val="-33"/>
        </w:rPr>
        <w:t> </w:t>
      </w:r>
      <w:r>
        <w:rPr>
          <w:spacing w:val="-33"/>
        </w:rPr>
      </w:r>
      <w:r>
        <w:rPr/>
        <w:t>年应调增应纳税所得额3,376,046.91元，补缴企业所得税844,011.73元；(3)2015年应调增应纳税</w:t>
      </w:r>
      <w:r>
        <w:rPr>
          <w:spacing w:val="-24"/>
        </w:rPr>
        <w:t> </w:t>
      </w:r>
      <w:r>
        <w:rPr>
          <w:spacing w:val="-24"/>
        </w:rPr>
      </w:r>
      <w:r>
        <w:rPr>
          <w:spacing w:val="-4"/>
        </w:rPr>
        <w:t>所得额361,727.89元，补缴企业所得税90,431.97元，合计补缴企业所得税1,443,876.57元”。2017</w:t>
      </w:r>
      <w:r>
        <w:rPr>
          <w:spacing w:val="5"/>
        </w:rPr>
        <w:t> </w:t>
      </w:r>
      <w:r>
        <w:rPr>
          <w:spacing w:val="5"/>
        </w:rPr>
      </w:r>
      <w:r>
        <w:rPr/>
        <w:t>年9月8日，秦国税稽查局向公司发出冀秦国税稽处[2017]15号《税务处理决定书》，指出公司违法</w:t>
      </w:r>
      <w:r>
        <w:rPr>
          <w:w w:val="100"/>
        </w:rPr>
        <w:t> </w:t>
      </w:r>
      <w:r>
        <w:rPr/>
        <w:t>事实并决定追缴企业所得税1,443,876.57元及滞纳金。</w:t>
      </w:r>
    </w:p>
    <w:p>
      <w:pPr>
        <w:pStyle w:val="BodyText"/>
        <w:spacing w:line="273" w:lineRule="auto" w:before="8"/>
        <w:ind w:left="393" w:right="342" w:firstLine="420"/>
        <w:jc w:val="left"/>
      </w:pPr>
      <w:r>
        <w:rPr>
          <w:spacing w:val="-2"/>
        </w:rPr>
        <w:t>由于秦国税稽查局检查的法人主体为本公司，需要本公司先行向税务机关缴纳税款及滞纳金。</w:t>
      </w:r>
      <w:r>
        <w:rPr>
          <w:w w:val="100"/>
        </w:rPr>
        <w:t> </w:t>
      </w:r>
      <w:r>
        <w:rPr/>
        <w:t>因此，本公司已经于</w:t>
      </w:r>
      <w:r>
        <w:rPr>
          <w:spacing w:val="-42"/>
        </w:rPr>
        <w:t> </w:t>
      </w:r>
      <w:r>
        <w:rPr/>
        <w:t>2017</w:t>
      </w:r>
      <w:r>
        <w:rPr>
          <w:spacing w:val="-44"/>
        </w:rPr>
        <w:t> </w:t>
      </w:r>
      <w:r>
        <w:rPr/>
        <w:t>年</w:t>
      </w:r>
      <w:r>
        <w:rPr>
          <w:spacing w:val="-44"/>
        </w:rPr>
        <w:t> </w:t>
      </w:r>
      <w:r>
        <w:rPr/>
        <w:t>4</w:t>
      </w:r>
      <w:r>
        <w:rPr>
          <w:spacing w:val="-44"/>
        </w:rPr>
        <w:t> </w:t>
      </w:r>
      <w:r>
        <w:rPr/>
        <w:t>月</w:t>
      </w:r>
      <w:r>
        <w:rPr>
          <w:spacing w:val="-42"/>
        </w:rPr>
        <w:t> </w:t>
      </w:r>
      <w:r>
        <w:rPr/>
        <w:t>13</w:t>
      </w:r>
      <w:r>
        <w:rPr>
          <w:spacing w:val="-42"/>
        </w:rPr>
        <w:t> </w:t>
      </w:r>
      <w:r>
        <w:rPr/>
        <w:t>日应主管税务机构的要求预缴了所得税</w:t>
      </w:r>
      <w:r>
        <w:rPr>
          <w:spacing w:val="-44"/>
        </w:rPr>
        <w:t> </w:t>
      </w:r>
      <w:r>
        <w:rPr/>
        <w:t>1,443,877.57</w:t>
      </w:r>
      <w:r>
        <w:rPr>
          <w:spacing w:val="-44"/>
        </w:rPr>
        <w:t> </w:t>
      </w:r>
      <w:r>
        <w:rPr/>
        <w:t>元；于</w:t>
      </w:r>
    </w:p>
    <w:p>
      <w:pPr>
        <w:spacing w:after="0" w:line="273" w:lineRule="auto"/>
        <w:jc w:val="left"/>
        <w:sectPr>
          <w:pgSz w:w="11910" w:h="16840"/>
          <w:pgMar w:header="884" w:footer="1000" w:top="1140" w:bottom="1200" w:left="1080" w:right="960"/>
        </w:sectPr>
      </w:pPr>
    </w:p>
    <w:p>
      <w:pPr>
        <w:pStyle w:val="BodyText"/>
        <w:spacing w:line="273" w:lineRule="auto" w:before="131"/>
        <w:ind w:left="813" w:right="379" w:hanging="421"/>
        <w:jc w:val="left"/>
      </w:pPr>
      <w:r>
        <w:rPr/>
        <w:t>2017</w:t>
      </w:r>
      <w:r>
        <w:rPr>
          <w:spacing w:val="-55"/>
        </w:rPr>
        <w:t> </w:t>
      </w:r>
      <w:r>
        <w:rPr/>
        <w:t>年</w:t>
      </w:r>
      <w:r>
        <w:rPr>
          <w:spacing w:val="-53"/>
        </w:rPr>
        <w:t> </w:t>
      </w:r>
      <w:r>
        <w:rPr/>
        <w:t>9</w:t>
      </w:r>
      <w:r>
        <w:rPr>
          <w:spacing w:val="-55"/>
        </w:rPr>
        <w:t> </w:t>
      </w:r>
      <w:r>
        <w:rPr/>
        <w:t>月</w:t>
      </w:r>
      <w:r>
        <w:rPr>
          <w:spacing w:val="-53"/>
        </w:rPr>
        <w:t> </w:t>
      </w:r>
      <w:r>
        <w:rPr/>
        <w:t>11</w:t>
      </w:r>
      <w:r>
        <w:rPr>
          <w:spacing w:val="-55"/>
        </w:rPr>
        <w:t> </w:t>
      </w:r>
      <w:r>
        <w:rPr/>
        <w:t>日按规定缴纳滞纳税款滞纳金</w:t>
      </w:r>
      <w:r>
        <w:rPr>
          <w:spacing w:val="-52"/>
        </w:rPr>
        <w:t> </w:t>
      </w:r>
      <w:r>
        <w:rPr/>
        <w:t>566,963.66</w:t>
      </w:r>
      <w:r>
        <w:rPr>
          <w:spacing w:val="-53"/>
        </w:rPr>
        <w:t> </w:t>
      </w:r>
      <w:r>
        <w:rPr/>
        <w:t>元；合计</w:t>
      </w:r>
      <w:r>
        <w:rPr>
          <w:spacing w:val="-53"/>
        </w:rPr>
        <w:t> </w:t>
      </w:r>
      <w:r>
        <w:rPr/>
        <w:t>2,010,841.23</w:t>
      </w:r>
      <w:r>
        <w:rPr>
          <w:spacing w:val="-55"/>
        </w:rPr>
        <w:t> </w:t>
      </w:r>
      <w:r>
        <w:rPr/>
        <w:t>元。</w:t>
      </w:r>
      <w:r>
        <w:rPr>
          <w:w w:val="100"/>
        </w:rPr>
        <w:t> </w:t>
      </w:r>
      <w:r>
        <w:rPr/>
        <w:t>根据上述协议</w:t>
      </w:r>
      <w:r>
        <w:rPr>
          <w:spacing w:val="-53"/>
        </w:rPr>
        <w:t> </w:t>
      </w:r>
      <w:r>
        <w:rPr/>
        <w:t>2.4</w:t>
      </w:r>
      <w:r>
        <w:rPr>
          <w:spacing w:val="-53"/>
        </w:rPr>
        <w:t> </w:t>
      </w:r>
      <w:r>
        <w:rPr/>
        <w:t>条款，交割日(2015</w:t>
      </w:r>
      <w:r>
        <w:rPr>
          <w:spacing w:val="-53"/>
        </w:rPr>
        <w:t> </w:t>
      </w:r>
      <w:r>
        <w:rPr/>
        <w:t>年</w:t>
      </w:r>
      <w:r>
        <w:rPr>
          <w:spacing w:val="-55"/>
        </w:rPr>
        <w:t> </w:t>
      </w:r>
      <w:r>
        <w:rPr/>
        <w:t>10</w:t>
      </w:r>
      <w:r>
        <w:rPr>
          <w:spacing w:val="-55"/>
        </w:rPr>
        <w:t> </w:t>
      </w:r>
      <w:r>
        <w:rPr/>
        <w:t>月</w:t>
      </w:r>
      <w:r>
        <w:rPr>
          <w:spacing w:val="-53"/>
        </w:rPr>
        <w:t> </w:t>
      </w:r>
      <w:r>
        <w:rPr/>
        <w:t>26</w:t>
      </w:r>
      <w:r>
        <w:rPr>
          <w:spacing w:val="-55"/>
        </w:rPr>
        <w:t> </w:t>
      </w:r>
      <w:r>
        <w:rPr/>
        <w:t>日)后，甲方因标的资产而支付的任何费用、</w:t>
      </w:r>
    </w:p>
    <w:p>
      <w:pPr>
        <w:pStyle w:val="BodyText"/>
        <w:spacing w:line="273" w:lineRule="auto"/>
        <w:ind w:left="393" w:right="452"/>
        <w:jc w:val="both"/>
      </w:pPr>
      <w:r>
        <w:rPr>
          <w:spacing w:val="-2"/>
        </w:rPr>
        <w:t>遭受的任何损失等，均有权向乙方要求赔偿和补偿，本公司已向中兆投资发函并协商，要求中兆投</w:t>
      </w:r>
      <w:r>
        <w:rPr>
          <w:spacing w:val="-46"/>
        </w:rPr>
        <w:t> </w:t>
      </w:r>
      <w:r>
        <w:rPr>
          <w:spacing w:val="-46"/>
        </w:rPr>
      </w:r>
      <w:r>
        <w:rPr>
          <w:spacing w:val="-2"/>
        </w:rPr>
        <w:t>资向公司支付本次补缴的税款及滞纳金。剔除交割日后仍是本公司人员的“企业行政部门‘营业费</w:t>
      </w:r>
      <w:r>
        <w:rPr>
          <w:spacing w:val="-46"/>
        </w:rPr>
        <w:t> </w:t>
      </w:r>
      <w:r>
        <w:rPr>
          <w:spacing w:val="-46"/>
        </w:rPr>
      </w:r>
      <w:r>
        <w:rPr>
          <w:spacing w:val="-6"/>
          <w:w w:val="100"/>
        </w:rPr>
        <w:t>用’科目列支与收入无关的支出”，中兆投资支付税款</w:t>
      </w:r>
      <w:r>
        <w:rPr>
          <w:spacing w:val="-28"/>
          <w:w w:val="100"/>
        </w:rPr>
        <w:t> </w:t>
      </w:r>
      <w:r>
        <w:rPr>
          <w:spacing w:val="-1"/>
          <w:w w:val="100"/>
        </w:rPr>
        <w:t>1,417,209.07</w:t>
      </w:r>
      <w:r>
        <w:rPr>
          <w:spacing w:val="-31"/>
          <w:w w:val="100"/>
        </w:rPr>
        <w:t> </w:t>
      </w:r>
      <w:r>
        <w:rPr>
          <w:spacing w:val="-2"/>
          <w:w w:val="100"/>
        </w:rPr>
        <w:t>元及滞纳金</w:t>
      </w:r>
      <w:r>
        <w:rPr>
          <w:spacing w:val="-28"/>
          <w:w w:val="100"/>
        </w:rPr>
        <w:t> </w:t>
      </w:r>
      <w:r>
        <w:rPr>
          <w:spacing w:val="-1"/>
          <w:w w:val="100"/>
        </w:rPr>
        <w:t>554,323.99</w:t>
      </w:r>
      <w:r>
        <w:rPr>
          <w:spacing w:val="-31"/>
          <w:w w:val="100"/>
        </w:rPr>
        <w:t> </w:t>
      </w:r>
      <w:r>
        <w:rPr>
          <w:w w:val="100"/>
        </w:rPr>
        <w:t>元，</w:t>
      </w:r>
      <w:r>
        <w:rPr>
          <w:w w:val="100"/>
        </w:rPr>
        <w:t> </w:t>
      </w:r>
      <w:r>
        <w:rPr/>
        <w:t>合计</w:t>
      </w:r>
      <w:r>
        <w:rPr>
          <w:spacing w:val="-55"/>
        </w:rPr>
        <w:t> </w:t>
      </w:r>
      <w:r>
        <w:rPr/>
        <w:t>1,971,533.06</w:t>
      </w:r>
      <w:r>
        <w:rPr>
          <w:spacing w:val="-57"/>
        </w:rPr>
        <w:t> </w:t>
      </w:r>
      <w:r>
        <w:rPr/>
        <w:t>元。如果双方对协议条款有异议将按协议约定仲裁解决该项争议。</w:t>
      </w:r>
    </w:p>
    <w:p>
      <w:pPr>
        <w:pStyle w:val="BodyText"/>
        <w:spacing w:line="273" w:lineRule="auto"/>
        <w:ind w:left="813" w:right="342"/>
        <w:jc w:val="left"/>
      </w:pPr>
      <w:r>
        <w:rPr/>
        <w:t>公司已将本次补缴税款及滞纳金列入报告期相关会计科目。</w:t>
      </w:r>
      <w:r>
        <w:rPr>
          <w:w w:val="100"/>
        </w:rPr>
        <w:t> </w:t>
      </w:r>
      <w:r>
        <w:rPr/>
        <w:t>本次税检缴纳的税款及滞纳金对公司影响很小，是因对当地财政规定理解不同(例如：离退休</w:t>
      </w:r>
    </w:p>
    <w:p>
      <w:pPr>
        <w:pStyle w:val="BodyText"/>
        <w:spacing w:line="273" w:lineRule="auto"/>
        <w:ind w:left="393" w:right="452"/>
        <w:jc w:val="both"/>
      </w:pPr>
      <w:r>
        <w:rPr/>
        <w:t>人员的费用)、小金额列支差错形成，不涉及应承担法律责任的罚款。公司将通过本次检查，提高</w:t>
      </w:r>
      <w:r>
        <w:rPr>
          <w:spacing w:val="-22"/>
        </w:rPr>
        <w:t> </w:t>
      </w:r>
      <w:r>
        <w:rPr>
          <w:spacing w:val="-22"/>
        </w:rPr>
      </w:r>
      <w:r>
        <w:rPr/>
        <w:t>相关人员水平，依法合规列支相关费用、成本，防范税务差错。</w:t>
      </w:r>
    </w:p>
    <w:p>
      <w:pPr>
        <w:pStyle w:val="BodyText"/>
        <w:spacing w:line="247" w:lineRule="auto" w:before="164"/>
        <w:ind w:left="813" w:right="342"/>
        <w:jc w:val="left"/>
      </w:pPr>
      <w:r>
        <w:rPr>
          <w:spacing w:val="-2"/>
        </w:rPr>
        <w:t>3、公司董事会审计委员会对审计报告中</w:t>
      </w:r>
      <w:r>
        <w:rPr>
          <w:rFonts w:ascii="Calibri" w:hAnsi="Calibri" w:cs="Calibri" w:eastAsia="Calibri" w:hint="default"/>
          <w:spacing w:val="-2"/>
        </w:rPr>
        <w:t>“</w:t>
      </w:r>
      <w:r>
        <w:rPr>
          <w:spacing w:val="-2"/>
        </w:rPr>
        <w:t>关键审计事项</w:t>
      </w:r>
      <w:r>
        <w:rPr>
          <w:rFonts w:ascii="Calibri" w:hAnsi="Calibri" w:cs="Calibri" w:eastAsia="Calibri" w:hint="default"/>
          <w:spacing w:val="-2"/>
        </w:rPr>
        <w:t>”</w:t>
      </w:r>
      <w:r>
        <w:rPr>
          <w:spacing w:val="-2"/>
        </w:rPr>
        <w:t>等涉及的重要事项进行审阅的说明</w:t>
      </w:r>
      <w:r>
        <w:rPr>
          <w:spacing w:val="-32"/>
        </w:rPr>
        <w:t> </w:t>
      </w:r>
      <w:r>
        <w:rPr>
          <w:spacing w:val="-32"/>
        </w:rPr>
      </w:r>
      <w:r>
        <w:rPr/>
        <w:t>公司审计委员会未对审计报告中</w:t>
      </w:r>
      <w:r>
        <w:rPr>
          <w:rFonts w:ascii="Calibri" w:hAnsi="Calibri" w:cs="Calibri" w:eastAsia="Calibri" w:hint="default"/>
        </w:rPr>
        <w:t>“</w:t>
      </w:r>
      <w:r>
        <w:rPr/>
        <w:t>关键审计事项</w:t>
      </w:r>
      <w:r>
        <w:rPr>
          <w:rFonts w:ascii="Calibri" w:hAnsi="Calibri" w:cs="Calibri" w:eastAsia="Calibri" w:hint="default"/>
        </w:rPr>
        <w:t>”</w:t>
      </w:r>
      <w:r>
        <w:rPr/>
        <w:t>等涉及的重要事项提出异议。</w:t>
      </w:r>
    </w:p>
    <w:p>
      <w:pPr>
        <w:spacing w:line="240" w:lineRule="auto" w:before="0"/>
        <w:rPr>
          <w:rFonts w:ascii="宋体" w:hAnsi="宋体" w:cs="宋体" w:eastAsia="宋体" w:hint="default"/>
          <w:sz w:val="24"/>
          <w:szCs w:val="24"/>
        </w:rPr>
      </w:pPr>
    </w:p>
    <w:p>
      <w:pPr>
        <w:pStyle w:val="BodyText"/>
        <w:spacing w:line="240" w:lineRule="auto" w:before="0"/>
        <w:ind w:left="813" w:right="1174"/>
        <w:jc w:val="left"/>
      </w:pPr>
      <w:r>
        <w:rPr/>
        <w:t>二、子公司重大事项</w:t>
      </w:r>
    </w:p>
    <w:p>
      <w:pPr>
        <w:pStyle w:val="BodyText"/>
        <w:spacing w:line="273" w:lineRule="auto" w:before="37"/>
        <w:ind w:left="393" w:right="342" w:firstLine="420"/>
        <w:jc w:val="left"/>
      </w:pPr>
      <w:r>
        <w:rPr/>
        <w:t>长实通信代收代付长实建设通信网络工程建设款事项是公司 2015</w:t>
      </w:r>
      <w:r>
        <w:rPr>
          <w:spacing w:val="-21"/>
        </w:rPr>
        <w:t> </w:t>
      </w:r>
      <w:r>
        <w:rPr/>
        <w:t>年重大资产收购的标的资产</w:t>
      </w:r>
      <w:r>
        <w:rPr>
          <w:w w:val="100"/>
        </w:rPr>
        <w:t> </w:t>
      </w:r>
      <w:r>
        <w:rPr>
          <w:spacing w:val="-3"/>
          <w:w w:val="100"/>
        </w:rPr>
        <w:t>长实通信在被收购之前分立时形成。2015</w:t>
      </w:r>
      <w:r>
        <w:rPr>
          <w:spacing w:val="-50"/>
          <w:w w:val="100"/>
        </w:rPr>
        <w:t> </w:t>
      </w:r>
      <w:r>
        <w:rPr>
          <w:w w:val="100"/>
        </w:rPr>
        <w:t>年</w:t>
      </w:r>
      <w:r>
        <w:rPr>
          <w:spacing w:val="-48"/>
          <w:w w:val="100"/>
        </w:rPr>
        <w:t> </w:t>
      </w:r>
      <w:r>
        <w:rPr>
          <w:w w:val="100"/>
        </w:rPr>
        <w:t>3</w:t>
      </w:r>
      <w:r>
        <w:rPr>
          <w:spacing w:val="-50"/>
          <w:w w:val="100"/>
        </w:rPr>
        <w:t> </w:t>
      </w:r>
      <w:r>
        <w:rPr>
          <w:w w:val="100"/>
        </w:rPr>
        <w:t>月</w:t>
      </w:r>
      <w:r>
        <w:rPr>
          <w:spacing w:val="-48"/>
          <w:w w:val="100"/>
        </w:rPr>
        <w:t> </w:t>
      </w:r>
      <w:r>
        <w:rPr>
          <w:w w:val="100"/>
        </w:rPr>
        <w:t>1</w:t>
      </w:r>
      <w:r>
        <w:rPr>
          <w:spacing w:val="-50"/>
          <w:w w:val="100"/>
        </w:rPr>
        <w:t> </w:t>
      </w:r>
      <w:r>
        <w:rPr>
          <w:spacing w:val="-9"/>
          <w:w w:val="100"/>
        </w:rPr>
        <w:t>日，长实通信与长实建设签署《代收代付协议》，</w:t>
      </w:r>
      <w:r>
        <w:rPr>
          <w:spacing w:val="-103"/>
          <w:w w:val="100"/>
        </w:rPr>
        <w:t> </w:t>
      </w:r>
      <w:r>
        <w:rPr>
          <w:spacing w:val="-103"/>
          <w:w w:val="100"/>
        </w:rPr>
      </w:r>
      <w:r>
        <w:rPr/>
        <w:t>代收代付通信工程业务款项。有关代收代付情况见下表</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26"/>
        <w:gridCol w:w="2664"/>
        <w:gridCol w:w="2580"/>
        <w:gridCol w:w="2268"/>
      </w:tblGrid>
      <w:tr>
        <w:trPr>
          <w:trHeight w:val="466" w:hRule="exact"/>
        </w:trPr>
        <w:tc>
          <w:tcPr>
            <w:tcW w:w="2126" w:type="dxa"/>
            <w:tcBorders>
              <w:top w:val="single" w:sz="4" w:space="0" w:color="000000"/>
              <w:left w:val="single" w:sz="4" w:space="0" w:color="000000"/>
              <w:bottom w:val="single" w:sz="4" w:space="0" w:color="000000"/>
              <w:right w:val="single" w:sz="4" w:space="0" w:color="000000"/>
            </w:tcBorders>
          </w:tcPr>
          <w:p>
            <w:pP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07" w:right="0"/>
              <w:jc w:val="left"/>
              <w:rPr>
                <w:rFonts w:ascii="宋体" w:hAnsi="宋体" w:cs="宋体" w:eastAsia="宋体" w:hint="default"/>
                <w:sz w:val="18"/>
                <w:szCs w:val="18"/>
              </w:rPr>
            </w:pPr>
            <w:r>
              <w:rPr>
                <w:rFonts w:ascii="宋体" w:hAnsi="宋体" w:cs="宋体" w:eastAsia="宋体" w:hint="default"/>
                <w:sz w:val="18"/>
                <w:szCs w:val="18"/>
              </w:rPr>
              <w:t>长实通信代收(元)</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长实通信代付(元)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hAnsi="宋体" w:cs="宋体" w:eastAsia="宋体" w:hint="default"/>
                <w:sz w:val="18"/>
                <w:szCs w:val="18"/>
              </w:rPr>
              <w:t>期末余额(元)</w:t>
            </w:r>
          </w:p>
        </w:tc>
      </w:tr>
      <w:tr>
        <w:trPr>
          <w:trHeight w:val="34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2015年</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186,694,177.46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158,839,191.25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27,854,986.21</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2016年</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132,486,699.07</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133,576,270.82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26,765,414.46</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2017年</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64,251,669.94</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77,334,482.73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13,682,601.67</w:t>
            </w:r>
          </w:p>
        </w:tc>
      </w:tr>
      <w:tr>
        <w:trPr>
          <w:trHeight w:val="40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383,432,546.47</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z w:val="18"/>
              </w:rPr>
              <w:t>369,749,944.80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spacing w:line="273" w:lineRule="auto" w:before="36"/>
        <w:ind w:left="393" w:right="433" w:firstLine="420"/>
        <w:jc w:val="both"/>
      </w:pPr>
      <w:r>
        <w:rPr>
          <w:spacing w:val="-2"/>
        </w:rPr>
        <w:t>原长实通信主要从事通信网络维护和通信网络工程业务，因通信网络维护业务持续快速增长、</w:t>
      </w:r>
      <w:r>
        <w:rPr>
          <w:w w:val="100"/>
        </w:rPr>
        <w:t> </w:t>
      </w:r>
      <w:r>
        <w:rPr>
          <w:spacing w:val="-2"/>
        </w:rPr>
        <w:t>盈利能力好，而通信网络工程业务结算和应收账款回收期长、整体业务盈利能力较差，原长实通信</w:t>
      </w:r>
      <w:r>
        <w:rPr>
          <w:spacing w:val="-46"/>
        </w:rPr>
        <w:t> </w:t>
      </w:r>
      <w:r>
        <w:rPr>
          <w:spacing w:val="-46"/>
        </w:rPr>
      </w:r>
      <w:r>
        <w:rPr/>
        <w:t>进行了分立。2015</w:t>
      </w:r>
      <w:r>
        <w:rPr>
          <w:spacing w:val="-49"/>
        </w:rPr>
        <w:t> </w:t>
      </w:r>
      <w:r>
        <w:rPr/>
        <w:t>年</w:t>
      </w:r>
      <w:r>
        <w:rPr>
          <w:spacing w:val="-46"/>
        </w:rPr>
        <w:t> </w:t>
      </w:r>
      <w:r>
        <w:rPr/>
        <w:t>2</w:t>
      </w:r>
      <w:r>
        <w:rPr>
          <w:spacing w:val="-49"/>
        </w:rPr>
        <w:t> </w:t>
      </w:r>
      <w:r>
        <w:rPr/>
        <w:t>月</w:t>
      </w:r>
      <w:r>
        <w:rPr>
          <w:spacing w:val="-49"/>
        </w:rPr>
        <w:t> </w:t>
      </w:r>
      <w:r>
        <w:rPr/>
        <w:t>28</w:t>
      </w:r>
      <w:r>
        <w:rPr>
          <w:spacing w:val="-46"/>
        </w:rPr>
        <w:t> </w:t>
      </w:r>
      <w:r>
        <w:rPr/>
        <w:t>日，长实建设经工商登记成立，分立之前原长实通信尚未执行完毕的</w:t>
      </w:r>
      <w:r>
        <w:rPr>
          <w:w w:val="100"/>
        </w:rPr>
        <w:t> </w:t>
      </w:r>
      <w:r>
        <w:rPr>
          <w:spacing w:val="-2"/>
        </w:rPr>
        <w:t>通信网络工程业务由长实建设实质承接，未来长实建设亦不再承接新的通信网络工程业务，待现有</w:t>
      </w:r>
      <w:r>
        <w:rPr>
          <w:spacing w:val="-45"/>
        </w:rPr>
        <w:t> </w:t>
      </w:r>
      <w:r>
        <w:rPr>
          <w:spacing w:val="-45"/>
        </w:rPr>
      </w:r>
      <w:r>
        <w:rPr>
          <w:spacing w:val="-2"/>
        </w:rPr>
        <w:t>存续业务执行完毕且收款完成后予以注销或转让。原长实通信在分立过程中，根据分立合同应由长</w:t>
      </w:r>
      <w:r>
        <w:rPr>
          <w:spacing w:val="-43"/>
        </w:rPr>
        <w:t> </w:t>
      </w:r>
      <w:r>
        <w:rPr>
          <w:spacing w:val="-43"/>
        </w:rPr>
      </w:r>
      <w:r>
        <w:rPr>
          <w:spacing w:val="-2"/>
        </w:rPr>
        <w:t>实建设承担的合同义务及相关债权债务，若因相关合同主体无法变更的原因，可委托长实通信代收</w:t>
      </w:r>
      <w:r>
        <w:rPr>
          <w:spacing w:val="-44"/>
        </w:rPr>
        <w:t> </w:t>
      </w:r>
      <w:r>
        <w:rPr>
          <w:spacing w:val="-44"/>
        </w:rPr>
      </w:r>
      <w:r>
        <w:rPr/>
        <w:t>代付。</w:t>
      </w:r>
    </w:p>
    <w:p>
      <w:pPr>
        <w:pStyle w:val="BodyText"/>
        <w:spacing w:line="273" w:lineRule="auto"/>
        <w:ind w:left="393" w:right="436" w:firstLine="420"/>
        <w:jc w:val="both"/>
      </w:pPr>
      <w:r>
        <w:rPr/>
        <w:t>2015</w:t>
      </w:r>
      <w:r>
        <w:rPr>
          <w:spacing w:val="-48"/>
        </w:rPr>
        <w:t> </w:t>
      </w:r>
      <w:r>
        <w:rPr/>
        <w:t>年</w:t>
      </w:r>
      <w:r>
        <w:rPr>
          <w:spacing w:val="-45"/>
        </w:rPr>
        <w:t> </w:t>
      </w:r>
      <w:r>
        <w:rPr/>
        <w:t>1</w:t>
      </w:r>
      <w:r>
        <w:rPr>
          <w:spacing w:val="-48"/>
        </w:rPr>
        <w:t> </w:t>
      </w:r>
      <w:r>
        <w:rPr/>
        <w:t>月</w:t>
      </w:r>
      <w:r>
        <w:rPr>
          <w:spacing w:val="-45"/>
        </w:rPr>
        <w:t> </w:t>
      </w:r>
      <w:r>
        <w:rPr/>
        <w:t>29</w:t>
      </w:r>
      <w:r>
        <w:rPr>
          <w:spacing w:val="-48"/>
        </w:rPr>
        <w:t> </w:t>
      </w:r>
      <w:r>
        <w:rPr/>
        <w:t>日之后，原长实通信未再签署新的通信网络工程业务框架合同。根据框架合同</w:t>
      </w:r>
      <w:r>
        <w:rPr>
          <w:w w:val="100"/>
        </w:rPr>
        <w:t> </w:t>
      </w:r>
      <w:r>
        <w:rPr>
          <w:spacing w:val="-3"/>
        </w:rPr>
        <w:t>签署单项合同，按照</w:t>
      </w:r>
      <w:r>
        <w:rPr>
          <w:spacing w:val="-52"/>
        </w:rPr>
        <w:t> </w:t>
      </w:r>
      <w:r>
        <w:rPr/>
        <w:t>2015</w:t>
      </w:r>
      <w:r>
        <w:rPr>
          <w:spacing w:val="-54"/>
        </w:rPr>
        <w:t> </w:t>
      </w:r>
      <w:r>
        <w:rPr/>
        <w:t>年</w:t>
      </w:r>
      <w:r>
        <w:rPr>
          <w:spacing w:val="-52"/>
        </w:rPr>
        <w:t> </w:t>
      </w:r>
      <w:r>
        <w:rPr/>
        <w:t>1</w:t>
      </w:r>
      <w:r>
        <w:rPr>
          <w:spacing w:val="-54"/>
        </w:rPr>
        <w:t> </w:t>
      </w:r>
      <w:r>
        <w:rPr/>
        <w:t>月</w:t>
      </w:r>
      <w:r>
        <w:rPr>
          <w:spacing w:val="-52"/>
        </w:rPr>
        <w:t> </w:t>
      </w:r>
      <w:r>
        <w:rPr/>
        <w:t>29</w:t>
      </w:r>
      <w:r>
        <w:rPr>
          <w:spacing w:val="-54"/>
        </w:rPr>
        <w:t> </w:t>
      </w:r>
      <w:r>
        <w:rPr/>
        <w:t>日之前已签署的框架及单项合同涉及无法变更合同主体的通信</w:t>
      </w:r>
      <w:r>
        <w:rPr>
          <w:w w:val="100"/>
        </w:rPr>
        <w:t> </w:t>
      </w:r>
      <w:r>
        <w:rPr/>
        <w:t>网络工程项目，预计</w:t>
      </w:r>
      <w:r>
        <w:rPr>
          <w:spacing w:val="-54"/>
        </w:rPr>
        <w:t> </w:t>
      </w:r>
      <w:r>
        <w:rPr/>
        <w:t>2018</w:t>
      </w:r>
      <w:r>
        <w:rPr>
          <w:spacing w:val="-56"/>
        </w:rPr>
        <w:t> </w:t>
      </w:r>
      <w:r>
        <w:rPr/>
        <w:t>年可实施完成，截至</w:t>
      </w:r>
      <w:r>
        <w:rPr>
          <w:spacing w:val="-54"/>
        </w:rPr>
        <w:t> </w:t>
      </w:r>
      <w:r>
        <w:rPr/>
        <w:t>2017</w:t>
      </w:r>
      <w:r>
        <w:rPr>
          <w:spacing w:val="-56"/>
        </w:rPr>
        <w:t> </w:t>
      </w:r>
      <w:r>
        <w:rPr/>
        <w:t>年末已签署的框架及单项合同数约</w:t>
      </w:r>
      <w:r>
        <w:rPr>
          <w:spacing w:val="-54"/>
        </w:rPr>
        <w:t> </w:t>
      </w:r>
      <w:r>
        <w:rPr/>
        <w:t>3,457</w:t>
      </w:r>
      <w:r>
        <w:rPr>
          <w:spacing w:val="-56"/>
        </w:rPr>
        <w:t> </w:t>
      </w:r>
      <w:r>
        <w:rPr/>
        <w:t>个，</w:t>
      </w:r>
      <w:r>
        <w:rPr>
          <w:w w:val="100"/>
        </w:rPr>
        <w:t> </w:t>
      </w:r>
      <w:r>
        <w:rPr/>
        <w:t>尚余估算金额为</w:t>
      </w:r>
      <w:r>
        <w:rPr>
          <w:spacing w:val="-56"/>
        </w:rPr>
        <w:t> </w:t>
      </w:r>
      <w:r>
        <w:rPr/>
        <w:t>1.47</w:t>
      </w:r>
      <w:r>
        <w:rPr>
          <w:spacing w:val="-56"/>
        </w:rPr>
        <w:t> </w:t>
      </w:r>
      <w:r>
        <w:rPr/>
        <w:t>亿元(不含本期及之前的代收代付)。</w:t>
      </w:r>
    </w:p>
    <w:p>
      <w:pPr>
        <w:spacing w:line="240" w:lineRule="auto" w:before="4"/>
        <w:rPr>
          <w:rFonts w:ascii="宋体" w:hAnsi="宋体" w:cs="宋体" w:eastAsia="宋体" w:hint="default"/>
          <w:sz w:val="29"/>
          <w:szCs w:val="29"/>
        </w:rPr>
      </w:pPr>
    </w:p>
    <w:p>
      <w:pPr>
        <w:tabs>
          <w:tab w:pos="4099" w:val="left" w:leader="none"/>
        </w:tabs>
        <w:spacing w:before="0"/>
        <w:ind w:left="2812" w:right="1174" w:firstLine="0"/>
        <w:jc w:val="left"/>
        <w:rPr>
          <w:rFonts w:ascii="宋体" w:hAnsi="宋体" w:cs="宋体" w:eastAsia="宋体" w:hint="default"/>
          <w:sz w:val="32"/>
          <w:szCs w:val="32"/>
        </w:rPr>
      </w:pPr>
      <w:r>
        <w:rPr>
          <w:rFonts w:ascii="宋体" w:hAnsi="宋体" w:cs="宋体" w:eastAsia="宋体" w:hint="default"/>
          <w:b/>
          <w:bCs/>
          <w:w w:val="95"/>
          <w:sz w:val="32"/>
          <w:szCs w:val="32"/>
        </w:rPr>
        <w:t>第六章</w:t>
        <w:tab/>
      </w:r>
      <w:r>
        <w:rPr>
          <w:rFonts w:ascii="宋体" w:hAnsi="宋体" w:cs="宋体" w:eastAsia="宋体" w:hint="default"/>
          <w:b/>
          <w:bCs/>
          <w:sz w:val="32"/>
          <w:szCs w:val="32"/>
        </w:rPr>
        <w:t>股份变动及股东情况</w:t>
      </w:r>
      <w:r>
        <w:rPr>
          <w:rFonts w:ascii="宋体" w:hAnsi="宋体" w:cs="宋体" w:eastAsia="宋体" w:hint="default"/>
          <w:sz w:val="32"/>
          <w:szCs w:val="32"/>
        </w:rPr>
      </w:r>
    </w:p>
    <w:p>
      <w:pPr>
        <w:pStyle w:val="BodyText"/>
        <w:tabs>
          <w:tab w:pos="4692" w:val="left" w:leader="none"/>
        </w:tabs>
        <w:spacing w:line="620" w:lineRule="atLeast" w:before="108"/>
        <w:ind w:left="813" w:right="452" w:firstLine="3033"/>
        <w:jc w:val="left"/>
      </w:pPr>
      <w:r>
        <w:rPr>
          <w:rFonts w:ascii="宋体" w:hAnsi="宋体" w:cs="宋体" w:eastAsia="宋体" w:hint="default"/>
          <w:b/>
          <w:bCs/>
        </w:rPr>
        <w:t>第一节</w:t>
        <w:tab/>
        <w:t>股份变动情况</w:t>
      </w:r>
      <w:r>
        <w:rPr>
          <w:rFonts w:ascii="宋体" w:hAnsi="宋体" w:cs="宋体" w:eastAsia="宋体" w:hint="default"/>
          <w:b/>
          <w:bCs/>
          <w:w w:val="100"/>
        </w:rPr>
        <w:t> </w:t>
      </w:r>
      <w:r>
        <w:rPr/>
        <w:t>一、报告期内公司总股本没有增减变动。因</w:t>
      </w:r>
      <w:r>
        <w:rPr>
          <w:spacing w:val="-59"/>
        </w:rPr>
        <w:t> </w:t>
      </w:r>
      <w:r>
        <w:rPr/>
        <w:t>2017</w:t>
      </w:r>
      <w:r>
        <w:rPr>
          <w:spacing w:val="-60"/>
        </w:rPr>
        <w:t> </w:t>
      </w:r>
      <w:r>
        <w:rPr/>
        <w:t>年</w:t>
      </w:r>
      <w:r>
        <w:rPr>
          <w:spacing w:val="-59"/>
        </w:rPr>
        <w:t> </w:t>
      </w:r>
      <w:r>
        <w:rPr/>
        <w:t>12</w:t>
      </w:r>
      <w:r>
        <w:rPr>
          <w:spacing w:val="-60"/>
        </w:rPr>
        <w:t> </w:t>
      </w:r>
      <w:r>
        <w:rPr/>
        <w:t>月公司股东鹰溪谷、博升优势、峰幽投</w:t>
      </w:r>
    </w:p>
    <w:p>
      <w:pPr>
        <w:pStyle w:val="BodyText"/>
        <w:spacing w:line="273" w:lineRule="auto" w:before="37"/>
        <w:ind w:left="393" w:right="342"/>
        <w:jc w:val="left"/>
      </w:pPr>
      <w:r>
        <w:rPr>
          <w:spacing w:val="-2"/>
        </w:rPr>
        <w:t>资所持限售股份锁定期满解除限售，引起报告期公司有限售条件股份、无限售条件股份数量相应增</w:t>
      </w:r>
      <w:r>
        <w:rPr>
          <w:spacing w:val="-47"/>
        </w:rPr>
        <w:t> </w:t>
      </w:r>
      <w:r>
        <w:rPr>
          <w:spacing w:val="-47"/>
        </w:rPr>
      </w:r>
      <w:r>
        <w:rPr/>
        <w:t>减</w:t>
      </w:r>
      <w:r>
        <w:rPr>
          <w:spacing w:val="-53"/>
        </w:rPr>
        <w:t> </w:t>
      </w:r>
      <w:r>
        <w:rPr/>
        <w:t>176,305,222</w:t>
      </w:r>
      <w:r>
        <w:rPr>
          <w:spacing w:val="-55"/>
        </w:rPr>
        <w:t> </w:t>
      </w:r>
      <w:r>
        <w:rPr/>
        <w:t>股。有关变动情况见下表。</w:t>
      </w:r>
    </w:p>
    <w:p>
      <w:pPr>
        <w:spacing w:after="0" w:line="273" w:lineRule="auto"/>
        <w:jc w:val="left"/>
        <w:sectPr>
          <w:pgSz w:w="11910" w:h="16840"/>
          <w:pgMar w:header="884" w:footer="1000" w:top="1140" w:bottom="1200" w:left="1080" w:right="960"/>
        </w:sectPr>
      </w:pPr>
    </w:p>
    <w:p>
      <w:pPr>
        <w:pStyle w:val="BodyText"/>
        <w:spacing w:line="240" w:lineRule="auto" w:before="131"/>
        <w:ind w:left="813" w:right="1174"/>
        <w:jc w:val="left"/>
      </w:pPr>
      <w:r>
        <w:rPr/>
        <w:t>(一)公司</w:t>
      </w:r>
      <w:r>
        <w:rPr>
          <w:spacing w:val="-55"/>
        </w:rPr>
        <w:t> </w:t>
      </w:r>
      <w:r>
        <w:rPr/>
        <w:t>2017</w:t>
      </w:r>
      <w:r>
        <w:rPr>
          <w:spacing w:val="-57"/>
        </w:rPr>
        <w:t> </w:t>
      </w:r>
      <w:r>
        <w:rPr/>
        <w:t>年股份变动情况表(数量单位：股)</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838"/>
        <w:gridCol w:w="1279"/>
        <w:gridCol w:w="710"/>
        <w:gridCol w:w="425"/>
        <w:gridCol w:w="425"/>
        <w:gridCol w:w="425"/>
        <w:gridCol w:w="1277"/>
        <w:gridCol w:w="1274"/>
        <w:gridCol w:w="1277"/>
        <w:gridCol w:w="708"/>
      </w:tblGrid>
      <w:tr>
        <w:trPr>
          <w:trHeight w:val="466" w:hRule="exact"/>
        </w:trPr>
        <w:tc>
          <w:tcPr>
            <w:tcW w:w="1838" w:type="dxa"/>
            <w:vMerge w:val="restart"/>
            <w:tcBorders>
              <w:top w:val="single" w:sz="4" w:space="0" w:color="000000"/>
              <w:left w:val="single" w:sz="4" w:space="0" w:color="000000"/>
              <w:right w:val="single" w:sz="4" w:space="0" w:color="000000"/>
            </w:tcBorders>
          </w:tcPr>
          <w:p>
            <w:pP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0" w:right="0"/>
              <w:jc w:val="left"/>
              <w:rPr>
                <w:rFonts w:ascii="宋体" w:hAnsi="宋体" w:cs="宋体" w:eastAsia="宋体" w:hint="default"/>
                <w:sz w:val="18"/>
                <w:szCs w:val="18"/>
              </w:rPr>
            </w:pPr>
            <w:r>
              <w:rPr>
                <w:rFonts w:ascii="宋体" w:hAnsi="宋体" w:cs="宋体" w:eastAsia="宋体" w:hint="default"/>
                <w:sz w:val="18"/>
                <w:szCs w:val="18"/>
              </w:rPr>
              <w:t>本报告期变动前</w:t>
            </w:r>
          </w:p>
        </w:tc>
        <w:tc>
          <w:tcPr>
            <w:tcW w:w="38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9" w:right="0"/>
              <w:jc w:val="left"/>
              <w:rPr>
                <w:rFonts w:ascii="宋体" w:hAnsi="宋体" w:cs="宋体" w:eastAsia="宋体" w:hint="default"/>
                <w:sz w:val="18"/>
                <w:szCs w:val="18"/>
              </w:rPr>
            </w:pPr>
            <w:r>
              <w:rPr>
                <w:rFonts w:ascii="宋体" w:hAnsi="宋体" w:cs="宋体" w:eastAsia="宋体" w:hint="default"/>
                <w:sz w:val="18"/>
                <w:szCs w:val="18"/>
              </w:rPr>
              <w:t>本报告期变动增减(+、-)</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7" w:right="0"/>
              <w:jc w:val="left"/>
              <w:rPr>
                <w:rFonts w:ascii="宋体" w:hAnsi="宋体" w:cs="宋体" w:eastAsia="宋体" w:hint="default"/>
                <w:sz w:val="18"/>
                <w:szCs w:val="18"/>
              </w:rPr>
            </w:pPr>
            <w:r>
              <w:rPr>
                <w:rFonts w:ascii="宋体" w:hAnsi="宋体" w:cs="宋体" w:eastAsia="宋体" w:hint="default"/>
                <w:sz w:val="18"/>
                <w:szCs w:val="18"/>
              </w:rPr>
              <w:t>本报告期变动后</w:t>
            </w:r>
          </w:p>
        </w:tc>
      </w:tr>
      <w:tr>
        <w:trPr>
          <w:trHeight w:val="1176" w:hRule="exact"/>
        </w:trPr>
        <w:tc>
          <w:tcPr>
            <w:tcW w:w="1838"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3" w:right="170"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17" w:right="115"/>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送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24" w:right="108"/>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3" w:right="168"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4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5"/>
              <w:jc w:val="right"/>
              <w:rPr>
                <w:rFonts w:ascii="宋体" w:hAnsi="宋体" w:cs="宋体" w:eastAsia="宋体" w:hint="default"/>
                <w:sz w:val="18"/>
                <w:szCs w:val="18"/>
              </w:rPr>
            </w:pPr>
            <w:r>
              <w:rPr>
                <w:rFonts w:ascii="宋体"/>
                <w:b/>
                <w:sz w:val="18"/>
              </w:rPr>
              <w:t>176,488,296</w:t>
            </w:r>
            <w:r>
              <w:rPr>
                <w:rFonts w:ascii="宋体"/>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5" w:right="0"/>
              <w:jc w:val="center"/>
              <w:rPr>
                <w:rFonts w:ascii="宋体" w:hAnsi="宋体" w:cs="宋体" w:eastAsia="宋体" w:hint="default"/>
                <w:sz w:val="18"/>
                <w:szCs w:val="18"/>
              </w:rPr>
            </w:pPr>
            <w:r>
              <w:rPr>
                <w:rFonts w:ascii="宋体"/>
                <w:b/>
                <w:sz w:val="18"/>
              </w:rPr>
              <w:t>28.382</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7"/>
              <w:jc w:val="right"/>
              <w:rPr>
                <w:rFonts w:ascii="宋体" w:hAnsi="宋体" w:cs="宋体" w:eastAsia="宋体" w:hint="default"/>
                <w:sz w:val="18"/>
                <w:szCs w:val="18"/>
              </w:rPr>
            </w:pPr>
            <w:r>
              <w:rPr>
                <w:rFonts w:ascii="宋体"/>
                <w:b/>
                <w:w w:val="99"/>
                <w:sz w:val="18"/>
              </w:rPr>
              <w:t>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6"/>
              <w:jc w:val="right"/>
              <w:rPr>
                <w:rFonts w:ascii="宋体" w:hAnsi="宋体" w:cs="宋体" w:eastAsia="宋体" w:hint="default"/>
                <w:sz w:val="18"/>
                <w:szCs w:val="18"/>
              </w:rPr>
            </w:pPr>
            <w:r>
              <w:rPr>
                <w:rFonts w:ascii="宋体"/>
                <w:b/>
                <w:spacing w:val="-1"/>
                <w:sz w:val="18"/>
              </w:rPr>
              <w:t>-</w:t>
            </w:r>
            <w:r>
              <w:rPr>
                <w:rFonts w:ascii="宋体"/>
                <w:spacing w:val="-1"/>
                <w:sz w:val="18"/>
              </w:rPr>
              <w:t>176,305,222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6"/>
              <w:jc w:val="right"/>
              <w:rPr>
                <w:rFonts w:ascii="宋体" w:hAnsi="宋体" w:cs="宋体" w:eastAsia="宋体" w:hint="default"/>
                <w:sz w:val="18"/>
                <w:szCs w:val="18"/>
              </w:rPr>
            </w:pPr>
            <w:r>
              <w:rPr>
                <w:rFonts w:ascii="宋体"/>
                <w:b/>
                <w:spacing w:val="-1"/>
                <w:sz w:val="18"/>
              </w:rPr>
              <w:t>-</w:t>
            </w:r>
            <w:r>
              <w:rPr>
                <w:rFonts w:ascii="宋体"/>
                <w:spacing w:val="-1"/>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7"/>
              <w:jc w:val="right"/>
              <w:rPr>
                <w:rFonts w:ascii="宋体" w:hAnsi="宋体" w:cs="宋体" w:eastAsia="宋体" w:hint="default"/>
                <w:sz w:val="18"/>
                <w:szCs w:val="18"/>
              </w:rPr>
            </w:pPr>
            <w:r>
              <w:rPr>
                <w:rFonts w:ascii="宋体"/>
                <w:b/>
                <w:sz w:val="18"/>
              </w:rPr>
              <w:t>183,074</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5"/>
              <w:jc w:val="right"/>
              <w:rPr>
                <w:rFonts w:ascii="宋体" w:hAnsi="宋体" w:cs="宋体" w:eastAsia="宋体" w:hint="default"/>
                <w:sz w:val="18"/>
                <w:szCs w:val="18"/>
              </w:rPr>
            </w:pPr>
            <w:r>
              <w:rPr>
                <w:rFonts w:ascii="宋体"/>
                <w:b/>
                <w:sz w:val="18"/>
              </w:rPr>
              <w:t>0.029</w:t>
            </w:r>
            <w:r>
              <w:rPr>
                <w:rFonts w:ascii="宋体"/>
                <w:sz w:val="18"/>
              </w:rPr>
            </w:r>
          </w:p>
        </w:tc>
      </w:tr>
      <w:tr>
        <w:trPr>
          <w:trHeight w:val="24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5"/>
              <w:jc w:val="right"/>
              <w:rPr>
                <w:rFonts w:ascii="宋体" w:hAnsi="宋体" w:cs="宋体" w:eastAsia="宋体" w:hint="default"/>
                <w:sz w:val="18"/>
                <w:szCs w:val="18"/>
              </w:rPr>
            </w:pPr>
            <w:r>
              <w:rPr>
                <w:rFonts w:ascii="宋体"/>
                <w:sz w:val="18"/>
              </w:rPr>
              <w:t>176,488,296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 w:right="0"/>
              <w:jc w:val="center"/>
              <w:rPr>
                <w:rFonts w:ascii="宋体" w:hAnsi="宋体" w:cs="宋体" w:eastAsia="宋体" w:hint="default"/>
                <w:sz w:val="18"/>
                <w:szCs w:val="18"/>
              </w:rPr>
            </w:pPr>
            <w:r>
              <w:rPr>
                <w:rFonts w:ascii="宋体"/>
                <w:sz w:val="18"/>
              </w:rPr>
              <w:t>28.382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b/>
                <w:spacing w:val="-1"/>
                <w:sz w:val="18"/>
              </w:rPr>
              <w:t>-</w:t>
            </w:r>
            <w:r>
              <w:rPr>
                <w:rFonts w:ascii="宋体"/>
                <w:spacing w:val="-1"/>
                <w:sz w:val="18"/>
              </w:rPr>
              <w:t>176,305,222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b/>
                <w:spacing w:val="-1"/>
                <w:sz w:val="18"/>
              </w:rPr>
              <w:t>-</w:t>
            </w:r>
            <w:r>
              <w:rPr>
                <w:rFonts w:ascii="宋体"/>
                <w:spacing w:val="-1"/>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sz w:val="18"/>
              </w:rPr>
              <w:t>183,074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宋体" w:hAnsi="宋体" w:cs="宋体" w:eastAsia="宋体" w:hint="default"/>
                <w:sz w:val="18"/>
                <w:szCs w:val="18"/>
              </w:rPr>
            </w:pPr>
            <w:r>
              <w:rPr>
                <w:rFonts w:ascii="宋体"/>
                <w:sz w:val="18"/>
              </w:rPr>
              <w:t>0.029</w:t>
            </w:r>
          </w:p>
        </w:tc>
      </w:tr>
      <w:tr>
        <w:trPr>
          <w:trHeight w:val="30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5"/>
              <w:jc w:val="right"/>
              <w:rPr>
                <w:rFonts w:ascii="宋体" w:hAnsi="宋体" w:cs="宋体" w:eastAsia="宋体" w:hint="default"/>
                <w:sz w:val="18"/>
                <w:szCs w:val="18"/>
              </w:rPr>
            </w:pPr>
            <w:r>
              <w:rPr>
                <w:rFonts w:ascii="宋体"/>
                <w:sz w:val="18"/>
              </w:rPr>
              <w:t>176,478,590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center"/>
              <w:rPr>
                <w:rFonts w:ascii="宋体" w:hAnsi="宋体" w:cs="宋体" w:eastAsia="宋体" w:hint="default"/>
                <w:sz w:val="18"/>
                <w:szCs w:val="18"/>
              </w:rPr>
            </w:pPr>
            <w:r>
              <w:rPr>
                <w:rFonts w:ascii="宋体"/>
                <w:sz w:val="18"/>
              </w:rPr>
              <w:t>28.381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b/>
                <w:spacing w:val="-1"/>
                <w:sz w:val="18"/>
              </w:rPr>
              <w:t>-</w:t>
            </w:r>
            <w:r>
              <w:rPr>
                <w:rFonts w:ascii="宋体"/>
                <w:spacing w:val="-1"/>
                <w:sz w:val="18"/>
              </w:rPr>
              <w:t>176,305,222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b/>
                <w:spacing w:val="-1"/>
                <w:sz w:val="18"/>
              </w:rPr>
              <w:t>-</w:t>
            </w:r>
            <w:r>
              <w:rPr>
                <w:rFonts w:ascii="宋体"/>
                <w:spacing w:val="-1"/>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sz w:val="18"/>
              </w:rPr>
              <w:t>173,368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宋体" w:hAnsi="宋体" w:cs="宋体" w:eastAsia="宋体" w:hint="default"/>
                <w:sz w:val="18"/>
                <w:szCs w:val="18"/>
              </w:rPr>
            </w:pPr>
            <w:r>
              <w:rPr>
                <w:rFonts w:ascii="宋体"/>
                <w:sz w:val="18"/>
              </w:rPr>
              <w:t>0.028</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5"/>
              <w:jc w:val="right"/>
              <w:rPr>
                <w:rFonts w:ascii="宋体" w:hAnsi="宋体" w:cs="宋体" w:eastAsia="宋体" w:hint="default"/>
                <w:sz w:val="18"/>
                <w:szCs w:val="18"/>
              </w:rPr>
            </w:pPr>
            <w:r>
              <w:rPr>
                <w:rFonts w:ascii="宋体"/>
                <w:sz w:val="18"/>
              </w:rPr>
              <w:t>9,706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9" w:right="0"/>
              <w:jc w:val="center"/>
              <w:rPr>
                <w:rFonts w:ascii="宋体" w:hAnsi="宋体" w:cs="宋体" w:eastAsia="宋体" w:hint="default"/>
                <w:sz w:val="18"/>
                <w:szCs w:val="18"/>
              </w:rPr>
            </w:pPr>
            <w:r>
              <w:rPr>
                <w:rFonts w:ascii="宋体"/>
                <w:sz w:val="18"/>
              </w:rPr>
              <w:t>0.001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
              <w:jc w:val="right"/>
              <w:rPr>
                <w:rFonts w:ascii="宋体" w:hAnsi="宋体" w:cs="宋体" w:eastAsia="宋体" w:hint="default"/>
                <w:sz w:val="18"/>
                <w:szCs w:val="18"/>
              </w:rPr>
            </w:pPr>
            <w:r>
              <w:rPr>
                <w:rFonts w:ascii="宋体"/>
                <w:sz w:val="18"/>
              </w:rPr>
              <w:t>9,706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4"/>
              <w:jc w:val="right"/>
              <w:rPr>
                <w:rFonts w:ascii="宋体" w:hAnsi="宋体" w:cs="宋体" w:eastAsia="宋体" w:hint="default"/>
                <w:sz w:val="18"/>
                <w:szCs w:val="18"/>
              </w:rPr>
            </w:pPr>
            <w:r>
              <w:rPr>
                <w:rFonts w:ascii="宋体"/>
                <w:sz w:val="18"/>
              </w:rPr>
              <w:t>0.001</w:t>
            </w:r>
          </w:p>
        </w:tc>
      </w:tr>
      <w:tr>
        <w:trPr>
          <w:trHeight w:val="24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7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8"/>
                <w:szCs w:val="18"/>
              </w:rPr>
            </w:pPr>
            <w:r>
              <w:rPr>
                <w:rFonts w:ascii="宋体"/>
                <w:b/>
                <w:sz w:val="18"/>
              </w:rPr>
              <w:t>445,338,490</w:t>
            </w:r>
            <w:r>
              <w:rPr>
                <w:rFonts w:ascii="宋体"/>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5" w:right="0"/>
              <w:jc w:val="center"/>
              <w:rPr>
                <w:rFonts w:ascii="宋体" w:hAnsi="宋体" w:cs="宋体" w:eastAsia="宋体" w:hint="default"/>
                <w:sz w:val="18"/>
                <w:szCs w:val="18"/>
              </w:rPr>
            </w:pPr>
            <w:r>
              <w:rPr>
                <w:rFonts w:ascii="宋体"/>
                <w:b/>
                <w:sz w:val="18"/>
              </w:rPr>
              <w:t>71.618</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b/>
                <w:w w:val="99"/>
                <w:sz w:val="18"/>
              </w:rPr>
              <w:t>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spacing w:val="-1"/>
                <w:sz w:val="18"/>
              </w:rPr>
              <w:t>176,305,222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spacing w:val="-1"/>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b/>
                <w:sz w:val="18"/>
              </w:rPr>
              <w:t>621,643,712</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8"/>
                <w:szCs w:val="18"/>
              </w:rPr>
            </w:pPr>
            <w:r>
              <w:rPr>
                <w:rFonts w:ascii="宋体"/>
                <w:b/>
                <w:sz w:val="18"/>
              </w:rPr>
              <w:t>99.971</w:t>
            </w:r>
            <w:r>
              <w:rPr>
                <w:rFonts w:ascii="宋体"/>
                <w:sz w:val="18"/>
              </w:rPr>
            </w:r>
          </w:p>
        </w:tc>
      </w:tr>
      <w:tr>
        <w:trPr>
          <w:trHeight w:val="32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right"/>
              <w:rPr>
                <w:rFonts w:ascii="宋体" w:hAnsi="宋体" w:cs="宋体" w:eastAsia="宋体" w:hint="default"/>
                <w:sz w:val="18"/>
                <w:szCs w:val="18"/>
              </w:rPr>
            </w:pPr>
            <w:r>
              <w:rPr>
                <w:rFonts w:ascii="宋体"/>
                <w:sz w:val="18"/>
              </w:rPr>
              <w:t>445,338,490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宋体" w:hAnsi="宋体" w:cs="宋体" w:eastAsia="宋体" w:hint="default"/>
                <w:sz w:val="18"/>
                <w:szCs w:val="18"/>
              </w:rPr>
            </w:pPr>
            <w:r>
              <w:rPr>
                <w:rFonts w:ascii="宋体"/>
                <w:sz w:val="18"/>
              </w:rPr>
              <w:t>71.618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pacing w:val="-1"/>
                <w:sz w:val="18"/>
              </w:rPr>
              <w:t>176,305,222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pacing w:val="-1"/>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621,643,712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99.971</w:t>
            </w:r>
          </w:p>
        </w:tc>
      </w:tr>
      <w:tr>
        <w:trPr>
          <w:trHeight w:val="24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9"/>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8"/>
                <w:szCs w:val="18"/>
              </w:rPr>
            </w:pPr>
            <w:r>
              <w:rPr>
                <w:rFonts w:ascii="宋体"/>
                <w:b/>
                <w:sz w:val="18"/>
              </w:rPr>
              <w:t>621,826,786</w:t>
            </w:r>
            <w:r>
              <w:rPr>
                <w:rFonts w:ascii="宋体"/>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5" w:right="0"/>
              <w:jc w:val="center"/>
              <w:rPr>
                <w:rFonts w:ascii="宋体" w:hAnsi="宋体" w:cs="宋体" w:eastAsia="宋体" w:hint="default"/>
                <w:sz w:val="18"/>
                <w:szCs w:val="18"/>
              </w:rPr>
            </w:pPr>
            <w:r>
              <w:rPr>
                <w:rFonts w:ascii="宋体"/>
                <w:b/>
                <w:sz w:val="18"/>
              </w:rPr>
              <w:t>100.00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b/>
                <w:w w:val="99"/>
                <w:sz w:val="18"/>
              </w:rPr>
              <w:t>0</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b/>
                <w:w w:val="99"/>
                <w:sz w:val="18"/>
              </w:rPr>
              <w:t>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b/>
                <w:sz w:val="18"/>
              </w:rPr>
              <w:t>621,826,786</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813" w:right="1174"/>
        <w:jc w:val="left"/>
      </w:pPr>
      <w:r>
        <w:rPr/>
        <w:t>(二)限售股份变动情况</w:t>
      </w: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85"/>
        <w:gridCol w:w="1274"/>
        <w:gridCol w:w="1277"/>
        <w:gridCol w:w="850"/>
        <w:gridCol w:w="710"/>
        <w:gridCol w:w="1843"/>
        <w:gridCol w:w="1699"/>
      </w:tblGrid>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解</w:t>
            </w:r>
            <w:r>
              <w:rPr>
                <w:rFonts w:ascii="宋体" w:hAnsi="宋体" w:cs="宋体" w:eastAsia="宋体" w:hint="default"/>
                <w:spacing w:val="-62"/>
                <w:sz w:val="18"/>
                <w:szCs w:val="18"/>
              </w:rPr>
              <w:t> </w:t>
            </w:r>
            <w:r>
              <w:rPr>
                <w:rFonts w:ascii="宋体" w:hAnsi="宋体" w:cs="宋体" w:eastAsia="宋体" w:hint="default"/>
                <w:sz w:val="18"/>
                <w:szCs w:val="18"/>
              </w:rPr>
              <w:t>除</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6"/>
                <w:sz w:val="18"/>
                <w:szCs w:val="18"/>
              </w:rPr>
              <w:t> </w:t>
            </w:r>
            <w:r>
              <w:rPr>
                <w:rFonts w:ascii="宋体" w:hAnsi="宋体" w:cs="宋体" w:eastAsia="宋体" w:hint="default"/>
                <w:sz w:val="18"/>
                <w:szCs w:val="18"/>
              </w:rPr>
              <w:t>期</w:t>
            </w:r>
            <w:r>
              <w:rPr>
                <w:rFonts w:ascii="宋体" w:hAnsi="宋体" w:cs="宋体" w:eastAsia="宋体" w:hint="default"/>
                <w:spacing w:val="-66"/>
                <w:sz w:val="18"/>
                <w:szCs w:val="18"/>
              </w:rPr>
              <w:t> </w:t>
            </w:r>
            <w:r>
              <w:rPr>
                <w:rFonts w:ascii="宋体" w:hAnsi="宋体" w:cs="宋体" w:eastAsia="宋体" w:hint="default"/>
                <w:sz w:val="18"/>
                <w:szCs w:val="18"/>
              </w:rPr>
              <w:t>增</w:t>
            </w:r>
            <w:r>
              <w:rPr>
                <w:rFonts w:ascii="宋体" w:hAnsi="宋体" w:cs="宋体" w:eastAsia="宋体" w:hint="default"/>
                <w:spacing w:val="-66"/>
                <w:sz w:val="18"/>
                <w:szCs w:val="18"/>
              </w:rPr>
              <w:t> </w:t>
            </w:r>
            <w:r>
              <w:rPr>
                <w:rFonts w:ascii="宋体" w:hAnsi="宋体" w:cs="宋体" w:eastAsia="宋体" w:hint="default"/>
                <w:sz w:val="18"/>
                <w:szCs w:val="18"/>
              </w:rPr>
              <w:t>加</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期 末</w:t>
            </w:r>
            <w:r>
              <w:rPr>
                <w:rFonts w:ascii="宋体" w:hAnsi="宋体" w:cs="宋体" w:eastAsia="宋体" w:hint="default"/>
                <w:spacing w:val="-66"/>
                <w:sz w:val="18"/>
                <w:szCs w:val="18"/>
              </w:rPr>
              <w:t> </w:t>
            </w:r>
            <w:r>
              <w:rPr>
                <w:rFonts w:ascii="宋体" w:hAnsi="宋体" w:cs="宋体" w:eastAsia="宋体" w:hint="default"/>
                <w:sz w:val="18"/>
                <w:szCs w:val="18"/>
              </w:rPr>
              <w:t>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19"/>
              <w:jc w:val="left"/>
              <w:rPr>
                <w:rFonts w:ascii="宋体" w:hAnsi="宋体" w:cs="宋体" w:eastAsia="宋体" w:hint="default"/>
                <w:sz w:val="18"/>
                <w:szCs w:val="18"/>
              </w:rPr>
            </w:pPr>
            <w:r>
              <w:rPr>
                <w:rFonts w:ascii="宋体" w:hAnsi="宋体" w:cs="宋体" w:eastAsia="宋体" w:hint="default"/>
                <w:spacing w:val="3"/>
                <w:sz w:val="18"/>
                <w:szCs w:val="18"/>
              </w:rPr>
              <w:t>孝昌鹰溪谷投资中心(有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7"/>
              <w:jc w:val="right"/>
              <w:rPr>
                <w:rFonts w:ascii="宋体" w:hAnsi="宋体" w:cs="宋体" w:eastAsia="宋体" w:hint="default"/>
                <w:sz w:val="18"/>
                <w:szCs w:val="18"/>
              </w:rPr>
            </w:pPr>
            <w:r>
              <w:rPr>
                <w:rFonts w:ascii="宋体"/>
                <w:sz w:val="18"/>
              </w:rPr>
              <w:t>148,360,844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9"/>
              <w:jc w:val="right"/>
              <w:rPr>
                <w:rFonts w:ascii="宋体" w:hAnsi="宋体" w:cs="宋体" w:eastAsia="宋体" w:hint="default"/>
                <w:sz w:val="18"/>
                <w:szCs w:val="18"/>
              </w:rPr>
            </w:pPr>
            <w:r>
              <w:rPr>
                <w:rFonts w:ascii="宋体"/>
                <w:sz w:val="18"/>
              </w:rPr>
              <w:t>148,360,844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4"/>
              <w:jc w:val="right"/>
              <w:rPr>
                <w:rFonts w:ascii="宋体" w:hAnsi="宋体" w:cs="宋体" w:eastAsia="宋体" w:hint="default"/>
                <w:sz w:val="18"/>
                <w:szCs w:val="18"/>
              </w:rPr>
            </w:pPr>
            <w:r>
              <w:rPr>
                <w:rFonts w:ascii="宋体"/>
                <w:sz w:val="18"/>
              </w:rPr>
              <w:t>0</w:t>
            </w:r>
          </w:p>
        </w:tc>
        <w:tc>
          <w:tcPr>
            <w:tcW w:w="1843" w:type="dxa"/>
            <w:vMerge w:val="restart"/>
            <w:tcBorders>
              <w:top w:val="single" w:sz="4" w:space="0" w:color="000000"/>
              <w:left w:val="single" w:sz="4" w:space="0" w:color="000000"/>
              <w:right w:val="single" w:sz="4" w:space="0" w:color="000000"/>
            </w:tcBorders>
          </w:tcPr>
          <w:p>
            <w:pPr>
              <w:pStyle w:val="TableParagraph"/>
              <w:spacing w:line="237" w:lineRule="auto" w:before="106"/>
              <w:ind w:left="21" w:right="19"/>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4"/>
                <w:sz w:val="18"/>
                <w:szCs w:val="18"/>
              </w:rPr>
              <w:t> </w:t>
            </w:r>
            <w:r>
              <w:rPr>
                <w:rFonts w:ascii="宋体" w:hAnsi="宋体" w:cs="宋体" w:eastAsia="宋体" w:hint="default"/>
                <w:spacing w:val="9"/>
                <w:sz w:val="18"/>
                <w:szCs w:val="18"/>
              </w:rPr>
              <w:t>年重组时公司向</w:t>
            </w:r>
            <w:r>
              <w:rPr>
                <w:rFonts w:ascii="宋体" w:hAnsi="宋体" w:cs="宋体" w:eastAsia="宋体" w:hint="default"/>
                <w:sz w:val="18"/>
                <w:szCs w:val="18"/>
              </w:rPr>
              <w:t> </w:t>
            </w:r>
            <w:r>
              <w:rPr>
                <w:rFonts w:ascii="宋体" w:hAnsi="宋体" w:cs="宋体" w:eastAsia="宋体" w:hint="default"/>
                <w:spacing w:val="-2"/>
                <w:sz w:val="18"/>
                <w:szCs w:val="18"/>
              </w:rPr>
              <w:t>鹰溪谷、峰幽投资、博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升优势非公开发行的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股份自</w:t>
            </w:r>
            <w:r>
              <w:rPr>
                <w:rFonts w:ascii="宋体" w:hAnsi="宋体" w:cs="宋体" w:eastAsia="宋体" w:hint="default"/>
                <w:spacing w:val="-57"/>
                <w:sz w:val="18"/>
                <w:szCs w:val="18"/>
              </w:rPr>
              <w:t> </w:t>
            </w: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19</w:t>
            </w:r>
            <w:r>
              <w:rPr>
                <w:rFonts w:ascii="宋体" w:hAnsi="宋体" w:cs="宋体" w:eastAsia="宋体" w:hint="default"/>
                <w:sz w:val="18"/>
                <w:szCs w:val="18"/>
              </w:rPr>
              <w:t> </w:t>
            </w:r>
            <w:r>
              <w:rPr>
                <w:rFonts w:ascii="宋体" w:hAnsi="宋体" w:cs="宋体" w:eastAsia="宋体" w:hint="default"/>
                <w:spacing w:val="18"/>
                <w:sz w:val="18"/>
                <w:szCs w:val="18"/>
              </w:rPr>
              <w:t>日上市日起全部锁定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21" w:right="38" w:firstLine="360"/>
              <w:jc w:val="both"/>
              <w:rPr>
                <w:rFonts w:ascii="宋体" w:hAnsi="宋体" w:cs="宋体" w:eastAsia="宋体" w:hint="default"/>
                <w:sz w:val="18"/>
                <w:szCs w:val="18"/>
              </w:rPr>
            </w:pPr>
            <w:r>
              <w:rPr>
                <w:rFonts w:ascii="宋体" w:hAnsi="宋体" w:cs="宋体" w:eastAsia="宋体" w:hint="default"/>
                <w:sz w:val="18"/>
                <w:szCs w:val="18"/>
              </w:rPr>
              <w:t>该 批 股 份</w:t>
            </w:r>
            <w:r>
              <w:rPr>
                <w:rFonts w:ascii="宋体" w:hAnsi="宋体" w:cs="宋体" w:eastAsia="宋体" w:hint="default"/>
                <w:spacing w:val="4"/>
                <w:sz w:val="18"/>
                <w:szCs w:val="18"/>
              </w:rPr>
              <w:t> </w:t>
            </w:r>
            <w:r>
              <w:rPr>
                <w:rFonts w:ascii="宋体" w:hAnsi="宋体" w:cs="宋体" w:eastAsia="宋体" w:hint="default"/>
                <w:sz w:val="18"/>
                <w:szCs w:val="18"/>
              </w:rPr>
              <w:t>至</w:t>
            </w:r>
            <w:r>
              <w:rPr>
                <w:rFonts w:ascii="宋体" w:hAnsi="宋体" w:cs="宋体" w:eastAsia="宋体" w:hint="default"/>
                <w:sz w:val="18"/>
                <w:szCs w:val="18"/>
              </w:rPr>
              <w:t> 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18</w:t>
            </w:r>
            <w:r>
              <w:rPr>
                <w:rFonts w:ascii="宋体" w:hAnsi="宋体" w:cs="宋体" w:eastAsia="宋体" w:hint="default"/>
                <w:spacing w:val="-53"/>
                <w:sz w:val="18"/>
                <w:szCs w:val="18"/>
              </w:rPr>
              <w:t> </w:t>
            </w:r>
            <w:r>
              <w:rPr>
                <w:rFonts w:ascii="宋体" w:hAnsi="宋体" w:cs="宋体" w:eastAsia="宋体" w:hint="default"/>
                <w:sz w:val="18"/>
                <w:szCs w:val="18"/>
              </w:rPr>
              <w:t>日锁</w:t>
            </w:r>
            <w:r>
              <w:rPr>
                <w:rFonts w:ascii="宋体" w:hAnsi="宋体" w:cs="宋体" w:eastAsia="宋体" w:hint="default"/>
                <w:sz w:val="18"/>
                <w:szCs w:val="18"/>
              </w:rPr>
              <w:t> </w:t>
            </w:r>
            <w:r>
              <w:rPr>
                <w:rFonts w:ascii="宋体" w:hAnsi="宋体" w:cs="宋体" w:eastAsia="宋体" w:hint="default"/>
                <w:spacing w:val="12"/>
                <w:sz w:val="18"/>
                <w:szCs w:val="18"/>
              </w:rPr>
              <w:t>定期满后，</w:t>
            </w:r>
            <w:r>
              <w:rPr>
                <w:rFonts w:ascii="宋体" w:hAnsi="宋体" w:cs="宋体" w:eastAsia="宋体" w:hint="default"/>
                <w:spacing w:val="-74"/>
                <w:sz w:val="18"/>
                <w:szCs w:val="18"/>
              </w:rPr>
              <w:t> </w:t>
            </w:r>
            <w:r>
              <w:rPr>
                <w:rFonts w:ascii="宋体" w:hAnsi="宋体" w:cs="宋体" w:eastAsia="宋体" w:hint="default"/>
                <w:sz w:val="18"/>
                <w:szCs w:val="18"/>
              </w:rPr>
              <w:t>于</w:t>
            </w:r>
            <w:r>
              <w:rPr>
                <w:rFonts w:ascii="宋体" w:hAnsi="宋体" w:cs="宋体" w:eastAsia="宋体" w:hint="default"/>
                <w:spacing w:val="15"/>
                <w:sz w:val="18"/>
                <w:szCs w:val="18"/>
              </w:rPr>
              <w:t> </w:t>
            </w:r>
            <w:r>
              <w:rPr>
                <w:rFonts w:ascii="宋体" w:hAnsi="宋体" w:cs="宋体" w:eastAsia="宋体" w:hint="default"/>
                <w:sz w:val="18"/>
                <w:szCs w:val="18"/>
              </w:rPr>
              <w:t>2017</w:t>
            </w:r>
          </w:p>
          <w:p>
            <w:pPr>
              <w:pStyle w:val="TableParagraph"/>
              <w:spacing w:line="212" w:lineRule="exact"/>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日全部解</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除限售上市流通。</w:t>
            </w:r>
          </w:p>
        </w:tc>
      </w:tr>
      <w:tr>
        <w:trPr>
          <w:trHeight w:val="5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21" w:right="21"/>
              <w:jc w:val="left"/>
              <w:rPr>
                <w:rFonts w:ascii="宋体" w:hAnsi="宋体" w:cs="宋体" w:eastAsia="宋体" w:hint="default"/>
                <w:sz w:val="18"/>
                <w:szCs w:val="18"/>
              </w:rPr>
            </w:pPr>
            <w:r>
              <w:rPr>
                <w:rFonts w:ascii="宋体" w:hAnsi="宋体" w:cs="宋体" w:eastAsia="宋体" w:hint="default"/>
                <w:spacing w:val="12"/>
                <w:sz w:val="18"/>
                <w:szCs w:val="18"/>
              </w:rPr>
              <w:t>上海峰幽投资管理中心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(普通合伙)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6"/>
              <w:jc w:val="right"/>
              <w:rPr>
                <w:rFonts w:ascii="宋体" w:hAnsi="宋体" w:cs="宋体" w:eastAsia="宋体" w:hint="default"/>
                <w:sz w:val="18"/>
                <w:szCs w:val="18"/>
              </w:rPr>
            </w:pPr>
            <w:r>
              <w:rPr>
                <w:rFonts w:ascii="宋体"/>
                <w:sz w:val="18"/>
              </w:rPr>
              <w:t>26,445,783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8"/>
              <w:jc w:val="right"/>
              <w:rPr>
                <w:rFonts w:ascii="宋体" w:hAnsi="宋体" w:cs="宋体" w:eastAsia="宋体" w:hint="default"/>
                <w:sz w:val="18"/>
                <w:szCs w:val="18"/>
              </w:rPr>
            </w:pPr>
            <w:r>
              <w:rPr>
                <w:rFonts w:ascii="宋体"/>
                <w:sz w:val="18"/>
              </w:rPr>
              <w:t>26,445,783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
              <w:jc w:val="right"/>
              <w:rPr>
                <w:rFonts w:ascii="宋体" w:hAnsi="宋体" w:cs="宋体" w:eastAsia="宋体" w:hint="default"/>
                <w:sz w:val="18"/>
                <w:szCs w:val="18"/>
              </w:rPr>
            </w:pPr>
            <w:r>
              <w:rPr>
                <w:rFonts w:ascii="宋体"/>
                <w:sz w:val="18"/>
              </w:rPr>
              <w:t>0</w:t>
            </w:r>
          </w:p>
        </w:tc>
        <w:tc>
          <w:tcPr>
            <w:tcW w:w="1843" w:type="dxa"/>
            <w:vMerge/>
            <w:tcBorders>
              <w:left w:val="single" w:sz="4" w:space="0" w:color="000000"/>
              <w:right w:val="single" w:sz="4" w:space="0" w:color="000000"/>
            </w:tcBorders>
          </w:tcPr>
          <w:p>
            <w:pPr/>
          </w:p>
        </w:tc>
        <w:tc>
          <w:tcPr>
            <w:tcW w:w="1699" w:type="dxa"/>
            <w:vMerge/>
            <w:tcBorders>
              <w:left w:val="single" w:sz="4" w:space="0" w:color="000000"/>
              <w:right w:val="single" w:sz="4" w:space="0" w:color="000000"/>
            </w:tcBorders>
          </w:tcPr>
          <w:p>
            <w:pP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151"/>
              <w:jc w:val="left"/>
              <w:rPr>
                <w:rFonts w:ascii="宋体" w:hAnsi="宋体" w:cs="宋体" w:eastAsia="宋体" w:hint="default"/>
                <w:sz w:val="18"/>
                <w:szCs w:val="18"/>
              </w:rPr>
            </w:pPr>
            <w:r>
              <w:rPr>
                <w:rFonts w:ascii="宋体" w:hAnsi="宋体" w:cs="宋体" w:eastAsia="宋体" w:hint="default"/>
                <w:sz w:val="18"/>
                <w:szCs w:val="18"/>
              </w:rPr>
              <w:t>北京博升优势科技发展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7"/>
              <w:jc w:val="right"/>
              <w:rPr>
                <w:rFonts w:ascii="宋体" w:hAnsi="宋体" w:cs="宋体" w:eastAsia="宋体" w:hint="default"/>
                <w:sz w:val="18"/>
                <w:szCs w:val="18"/>
              </w:rPr>
            </w:pPr>
            <w:r>
              <w:rPr>
                <w:rFonts w:ascii="宋体"/>
                <w:sz w:val="18"/>
              </w:rPr>
              <w:t>1,498,595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9"/>
              <w:jc w:val="right"/>
              <w:rPr>
                <w:rFonts w:ascii="宋体" w:hAnsi="宋体" w:cs="宋体" w:eastAsia="宋体" w:hint="default"/>
                <w:sz w:val="18"/>
                <w:szCs w:val="18"/>
              </w:rPr>
            </w:pPr>
            <w:r>
              <w:rPr>
                <w:rFonts w:ascii="宋体"/>
                <w:sz w:val="18"/>
              </w:rPr>
              <w:t>1,498,595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4"/>
              <w:jc w:val="right"/>
              <w:rPr>
                <w:rFonts w:ascii="宋体" w:hAnsi="宋体" w:cs="宋体" w:eastAsia="宋体" w:hint="default"/>
                <w:sz w:val="18"/>
                <w:szCs w:val="18"/>
              </w:rPr>
            </w:pPr>
            <w:r>
              <w:rPr>
                <w:rFonts w:ascii="宋体"/>
                <w:sz w:val="18"/>
              </w:rPr>
              <w:t>0</w:t>
            </w:r>
          </w:p>
        </w:tc>
        <w:tc>
          <w:tcPr>
            <w:tcW w:w="1843"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4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sz w:val="18"/>
              </w:rPr>
              <w:t>176,305,222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sz w:val="18"/>
              </w:rPr>
              <w:t>176,305,222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4"/>
              <w:jc w:val="right"/>
              <w:rPr>
                <w:rFonts w:ascii="宋体" w:hAnsi="宋体" w:cs="宋体" w:eastAsia="宋体" w:hint="default"/>
                <w:sz w:val="18"/>
                <w:szCs w:val="18"/>
              </w:rPr>
            </w:pPr>
            <w:r>
              <w:rPr>
                <w:rFonts w:ascii="宋体"/>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
              <w:jc w:val="right"/>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9"/>
              <w:jc w:val="righ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tabs>
          <w:tab w:pos="5853" w:val="left" w:leader="none"/>
        </w:tabs>
        <w:spacing w:line="273" w:lineRule="auto" w:before="36"/>
        <w:ind w:left="813" w:right="2852"/>
        <w:jc w:val="left"/>
      </w:pPr>
      <w:r>
        <w:rPr/>
        <w:t>二、证券发行与上市情况</w:t>
      </w:r>
      <w:r>
        <w:rPr>
          <w:w w:val="100"/>
        </w:rPr>
        <w:t> </w:t>
      </w:r>
      <w:r>
        <w:rPr/>
        <w:t>1、报告期内证券发行（不含优先股）情况：□</w:t>
      </w:r>
      <w:r>
        <w:rPr>
          <w:spacing w:val="-5"/>
        </w:rPr>
        <w:t> </w:t>
      </w:r>
      <w:r>
        <w:rPr/>
        <w:t>适用</w:t>
        <w:tab/>
        <w:t>√</w:t>
      </w:r>
      <w:r>
        <w:rPr>
          <w:spacing w:val="1"/>
        </w:rPr>
        <w:t> </w:t>
      </w:r>
      <w:r>
        <w:rPr/>
        <w:t>不适用。</w:t>
      </w:r>
    </w:p>
    <w:p>
      <w:pPr>
        <w:pStyle w:val="BodyText"/>
        <w:tabs>
          <w:tab w:pos="8882" w:val="left" w:leader="none"/>
        </w:tabs>
        <w:spacing w:line="273" w:lineRule="auto" w:before="8"/>
        <w:ind w:left="393" w:right="450" w:firstLine="420"/>
        <w:jc w:val="left"/>
      </w:pPr>
      <w:r>
        <w:rPr/>
        <w:t>2、公司股份总数及股东结构的变动、公司资产和负债结构的变动情况说明：□</w:t>
      </w:r>
      <w:r>
        <w:rPr>
          <w:spacing w:val="76"/>
        </w:rPr>
        <w:t> </w:t>
      </w:r>
      <w:r>
        <w:rPr/>
        <w:t>适用</w:t>
        <w:tab/>
        <w:t>√</w:t>
      </w:r>
      <w:r>
        <w:rPr>
          <w:spacing w:val="5"/>
        </w:rPr>
        <w:t> </w:t>
      </w:r>
      <w:r>
        <w:rPr/>
        <w:t>不</w:t>
      </w:r>
      <w:r>
        <w:rPr>
          <w:w w:val="100"/>
        </w:rPr>
        <w:t> </w:t>
      </w:r>
      <w:r>
        <w:rPr/>
        <w:t>适用。</w:t>
      </w:r>
    </w:p>
    <w:p>
      <w:pPr>
        <w:pStyle w:val="BodyText"/>
        <w:tabs>
          <w:tab w:pos="4384" w:val="left" w:leader="none"/>
        </w:tabs>
        <w:spacing w:line="240" w:lineRule="auto"/>
        <w:ind w:left="813" w:right="1174"/>
        <w:jc w:val="left"/>
      </w:pPr>
      <w:r>
        <w:rPr/>
        <w:t>3、现存的内部职工股情况：□</w:t>
      </w:r>
      <w:r>
        <w:rPr>
          <w:spacing w:val="-2"/>
        </w:rPr>
        <w:t> </w:t>
      </w:r>
      <w:r>
        <w:rPr/>
        <w:t>适用</w:t>
        <w:tab/>
        <w:t>√</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844" w:val="left" w:leader="none"/>
        </w:tabs>
        <w:spacing w:before="0"/>
        <w:ind w:left="0" w:right="61" w:firstLine="0"/>
        <w:jc w:val="center"/>
        <w:rPr>
          <w:rFonts w:ascii="宋体" w:hAnsi="宋体" w:cs="宋体" w:eastAsia="宋体" w:hint="default"/>
          <w:sz w:val="21"/>
          <w:szCs w:val="21"/>
        </w:rPr>
      </w:pPr>
      <w:r>
        <w:rPr>
          <w:rFonts w:ascii="宋体" w:hAnsi="宋体" w:cs="宋体" w:eastAsia="宋体" w:hint="default"/>
          <w:b/>
          <w:bCs/>
          <w:sz w:val="21"/>
          <w:szCs w:val="21"/>
        </w:rPr>
        <w:t>第二节</w:t>
        <w:tab/>
        <w:t>股东和实际控制人情况</w:t>
      </w:r>
      <w:r>
        <w:rPr>
          <w:rFonts w:ascii="宋体" w:hAnsi="宋体" w:cs="宋体" w:eastAsia="宋体" w:hint="default"/>
          <w:sz w:val="21"/>
          <w:szCs w:val="21"/>
        </w:rPr>
      </w:r>
    </w:p>
    <w:p>
      <w:pPr>
        <w:spacing w:after="0"/>
        <w:jc w:val="center"/>
        <w:rPr>
          <w:rFonts w:ascii="宋体" w:hAnsi="宋体" w:cs="宋体" w:eastAsia="宋体" w:hint="default"/>
          <w:sz w:val="21"/>
          <w:szCs w:val="21"/>
        </w:rPr>
        <w:sectPr>
          <w:pgSz w:w="11910" w:h="16840"/>
          <w:pgMar w:header="884" w:footer="1000" w:top="1140" w:bottom="1200" w:left="1080" w:right="960"/>
        </w:sectPr>
      </w:pPr>
    </w:p>
    <w:p>
      <w:pPr>
        <w:pStyle w:val="BodyText"/>
        <w:spacing w:line="240" w:lineRule="auto" w:before="131"/>
        <w:ind w:left="813" w:right="1174"/>
        <w:jc w:val="left"/>
      </w:pPr>
      <w:r>
        <w:rPr/>
        <w:t>一、公司股东数量及持股情况表(单位：股)</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91"/>
        <w:gridCol w:w="790"/>
        <w:gridCol w:w="346"/>
        <w:gridCol w:w="622"/>
        <w:gridCol w:w="698"/>
        <w:gridCol w:w="240"/>
        <w:gridCol w:w="850"/>
        <w:gridCol w:w="283"/>
        <w:gridCol w:w="852"/>
        <w:gridCol w:w="708"/>
        <w:gridCol w:w="283"/>
        <w:gridCol w:w="142"/>
        <w:gridCol w:w="199"/>
        <w:gridCol w:w="936"/>
        <w:gridCol w:w="283"/>
        <w:gridCol w:w="319"/>
        <w:gridCol w:w="530"/>
        <w:gridCol w:w="566"/>
      </w:tblGrid>
      <w:tr>
        <w:trPr>
          <w:trHeight w:val="71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报告期末</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14"/>
                <w:sz w:val="18"/>
                <w:szCs w:val="18"/>
              </w:rPr>
              <w:t>普通股股</w:t>
            </w:r>
            <w:r>
              <w:rPr>
                <w:rFonts w:ascii="宋体" w:hAnsi="宋体" w:cs="宋体" w:eastAsia="宋体" w:hint="default"/>
                <w:sz w:val="18"/>
                <w:szCs w:val="18"/>
              </w:rPr>
              <w:t> 东总数</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21,519</w:t>
            </w:r>
            <w:r>
              <w:rPr>
                <w:rFonts w:ascii="宋体" w:hAnsi="宋体" w:cs="宋体" w:eastAsia="宋体" w:hint="default"/>
                <w:spacing w:val="-44"/>
                <w:sz w:val="18"/>
                <w:szCs w:val="18"/>
              </w:rPr>
              <w:t> </w:t>
            </w:r>
            <w:r>
              <w:rPr>
                <w:rFonts w:ascii="宋体" w:hAnsi="宋体" w:cs="宋体" w:eastAsia="宋体" w:hint="default"/>
                <w:sz w:val="18"/>
                <w:szCs w:val="18"/>
              </w:rPr>
              <w:t>户</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年度报告披露日</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12"/>
                <w:sz w:val="18"/>
                <w:szCs w:val="18"/>
              </w:rPr>
              <w:t>前上一月末普通</w:t>
            </w:r>
            <w:r>
              <w:rPr>
                <w:rFonts w:ascii="宋体" w:hAnsi="宋体" w:cs="宋体" w:eastAsia="宋体" w:hint="default"/>
                <w:sz w:val="18"/>
                <w:szCs w:val="18"/>
              </w:rPr>
              <w:t> 股股东总数</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20,227</w:t>
            </w:r>
            <w:r>
              <w:rPr>
                <w:rFonts w:ascii="宋体" w:hAnsi="宋体" w:cs="宋体" w:eastAsia="宋体" w:hint="default"/>
                <w:spacing w:val="-43"/>
                <w:sz w:val="18"/>
                <w:szCs w:val="18"/>
              </w:rPr>
              <w:t> </w:t>
            </w:r>
            <w:r>
              <w:rPr>
                <w:rFonts w:ascii="宋体" w:hAnsi="宋体" w:cs="宋体" w:eastAsia="宋体" w:hint="default"/>
                <w:sz w:val="18"/>
                <w:szCs w:val="18"/>
              </w:rPr>
              <w:t>户</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报告期末表决权</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12"/>
                <w:sz w:val="18"/>
                <w:szCs w:val="18"/>
              </w:rPr>
              <w:t>恢复的优先股股</w:t>
            </w:r>
            <w:r>
              <w:rPr>
                <w:rFonts w:ascii="宋体" w:hAnsi="宋体" w:cs="宋体" w:eastAsia="宋体" w:hint="default"/>
                <w:sz w:val="18"/>
                <w:szCs w:val="18"/>
              </w:rPr>
              <w:t> 东总数(不适用)</w:t>
            </w:r>
          </w:p>
        </w:tc>
        <w:tc>
          <w:tcPr>
            <w:tcW w:w="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c>
          <w:tcPr>
            <w:tcW w:w="20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年度报告披露日前上一</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pacing w:val="5"/>
                <w:sz w:val="18"/>
                <w:szCs w:val="18"/>
              </w:rPr>
              <w:t>月末表决权恢复的优先</w:t>
            </w:r>
            <w:r>
              <w:rPr>
                <w:rFonts w:ascii="宋体" w:hAnsi="宋体" w:cs="宋体" w:eastAsia="宋体" w:hint="default"/>
                <w:sz w:val="18"/>
                <w:szCs w:val="18"/>
              </w:rPr>
              <w:t> 股股东总数(不适用)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0</w:t>
            </w:r>
          </w:p>
        </w:tc>
      </w:tr>
      <w:tr>
        <w:trPr>
          <w:trHeight w:val="415" w:hRule="exact"/>
        </w:trPr>
        <w:tc>
          <w:tcPr>
            <w:tcW w:w="9638" w:type="dxa"/>
            <w:gridSpan w:val="18"/>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47" w:right="0"/>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45"/>
                <w:sz w:val="18"/>
                <w:szCs w:val="18"/>
              </w:rPr>
              <w:t> </w:t>
            </w:r>
            <w:r>
              <w:rPr>
                <w:rFonts w:ascii="宋体" w:hAnsi="宋体" w:cs="宋体" w:eastAsia="宋体" w:hint="default"/>
                <w:sz w:val="18"/>
                <w:szCs w:val="18"/>
              </w:rPr>
              <w:t>5%以上的股东或前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410" w:hRule="exact"/>
        </w:trPr>
        <w:tc>
          <w:tcPr>
            <w:tcW w:w="1781"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67"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9"/>
                <w:sz w:val="18"/>
                <w:szCs w:val="18"/>
              </w:rPr>
              <w:t>股东性质</w:t>
            </w:r>
          </w:p>
        </w:tc>
        <w:tc>
          <w:tcPr>
            <w:tcW w:w="698" w:type="dxa"/>
            <w:vMerge w:val="restart"/>
            <w:tcBorders>
              <w:top w:val="single" w:sz="4" w:space="0" w:color="000000"/>
              <w:left w:val="single" w:sz="4" w:space="0" w:color="000000"/>
              <w:right w:val="single" w:sz="4" w:space="0" w:color="000000"/>
            </w:tcBorders>
          </w:tcPr>
          <w:p>
            <w:pPr>
              <w:pStyle w:val="TableParagraph"/>
              <w:spacing w:line="232" w:lineRule="exact" w:before="83"/>
              <w:ind w:left="165" w:right="161"/>
              <w:jc w:val="both"/>
              <w:rPr>
                <w:rFonts w:ascii="宋体" w:hAnsi="宋体" w:cs="宋体" w:eastAsia="宋体" w:hint="default"/>
                <w:sz w:val="18"/>
                <w:szCs w:val="18"/>
              </w:rPr>
            </w:pPr>
            <w:r>
              <w:rPr>
                <w:rFonts w:ascii="宋体" w:hAnsi="宋体" w:cs="宋体" w:eastAsia="宋体" w:hint="default"/>
                <w:sz w:val="18"/>
                <w:szCs w:val="18"/>
              </w:rPr>
              <w:t>持股 比例 (%)</w:t>
            </w:r>
          </w:p>
        </w:tc>
        <w:tc>
          <w:tcPr>
            <w:tcW w:w="1090" w:type="dxa"/>
            <w:gridSpan w:val="2"/>
            <w:vMerge w:val="restart"/>
            <w:tcBorders>
              <w:top w:val="single" w:sz="4" w:space="0" w:color="000000"/>
              <w:left w:val="single" w:sz="4" w:space="0" w:color="000000"/>
              <w:right w:val="single" w:sz="4" w:space="0" w:color="000000"/>
            </w:tcBorders>
          </w:tcPr>
          <w:p>
            <w:pPr>
              <w:pStyle w:val="TableParagraph"/>
              <w:spacing w:line="316" w:lineRule="auto" w:before="135"/>
              <w:ind w:left="103" w:right="103"/>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0"/>
                <w:sz w:val="18"/>
                <w:szCs w:val="18"/>
              </w:rPr>
              <w:t> </w:t>
            </w:r>
            <w:r>
              <w:rPr>
                <w:rFonts w:ascii="宋体" w:hAnsi="宋体" w:cs="宋体" w:eastAsia="宋体" w:hint="default"/>
                <w:sz w:val="18"/>
                <w:szCs w:val="18"/>
              </w:rPr>
              <w:t>告</w:t>
            </w:r>
            <w:r>
              <w:rPr>
                <w:rFonts w:ascii="宋体" w:hAnsi="宋体" w:cs="宋体" w:eastAsia="宋体" w:hint="default"/>
                <w:spacing w:val="-40"/>
                <w:sz w:val="18"/>
                <w:szCs w:val="18"/>
              </w:rPr>
              <w:t> </w:t>
            </w:r>
            <w:r>
              <w:rPr>
                <w:rFonts w:ascii="宋体" w:hAnsi="宋体" w:cs="宋体" w:eastAsia="宋体" w:hint="default"/>
                <w:sz w:val="18"/>
                <w:szCs w:val="18"/>
              </w:rPr>
              <w:t>期</w:t>
            </w:r>
            <w:r>
              <w:rPr>
                <w:rFonts w:ascii="宋体" w:hAnsi="宋体" w:cs="宋体" w:eastAsia="宋体" w:hint="default"/>
                <w:spacing w:val="-40"/>
                <w:sz w:val="18"/>
                <w:szCs w:val="18"/>
              </w:rPr>
              <w:t> </w:t>
            </w:r>
            <w:r>
              <w:rPr>
                <w:rFonts w:ascii="宋体" w:hAnsi="宋体" w:cs="宋体" w:eastAsia="宋体" w:hint="default"/>
                <w:sz w:val="18"/>
                <w:szCs w:val="18"/>
              </w:rPr>
              <w:t>末</w:t>
            </w:r>
            <w:r>
              <w:rPr>
                <w:rFonts w:ascii="宋体" w:hAnsi="宋体" w:cs="宋体" w:eastAsia="宋体" w:hint="default"/>
                <w:sz w:val="18"/>
                <w:szCs w:val="18"/>
              </w:rPr>
              <w:t> 持股数量</w:t>
            </w:r>
          </w:p>
        </w:tc>
        <w:tc>
          <w:tcPr>
            <w:tcW w:w="1135"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报告期内增</w:t>
            </w:r>
            <w:r>
              <w:rPr>
                <w:rFonts w:ascii="宋体" w:hAnsi="宋体" w:cs="宋体" w:eastAsia="宋体" w:hint="default"/>
                <w:sz w:val="18"/>
                <w:szCs w:val="18"/>
              </w:rPr>
              <w:t> 减变动情况</w:t>
            </w:r>
          </w:p>
        </w:tc>
        <w:tc>
          <w:tcPr>
            <w:tcW w:w="1133" w:type="dxa"/>
            <w:gridSpan w:val="3"/>
            <w:vMerge w:val="restart"/>
            <w:tcBorders>
              <w:top w:val="single" w:sz="4" w:space="0" w:color="000000"/>
              <w:left w:val="single" w:sz="4" w:space="0" w:color="000000"/>
              <w:right w:val="single" w:sz="4" w:space="0" w:color="000000"/>
            </w:tcBorders>
          </w:tcPr>
          <w:p>
            <w:pPr>
              <w:pStyle w:val="TableParagraph"/>
              <w:spacing w:line="232" w:lineRule="exact" w:before="83"/>
              <w:ind w:left="103" w:right="98"/>
              <w:jc w:val="both"/>
              <w:rPr>
                <w:rFonts w:ascii="宋体" w:hAnsi="宋体" w:cs="宋体" w:eastAsia="宋体" w:hint="default"/>
                <w:sz w:val="18"/>
                <w:szCs w:val="18"/>
              </w:rPr>
            </w:pPr>
            <w:r>
              <w:rPr>
                <w:rFonts w:ascii="宋体" w:hAnsi="宋体" w:cs="宋体" w:eastAsia="宋体" w:hint="default"/>
                <w:spacing w:val="3"/>
                <w:sz w:val="18"/>
                <w:szCs w:val="18"/>
              </w:rPr>
              <w:t>持有有限售</w:t>
            </w:r>
            <w:r>
              <w:rPr>
                <w:rFonts w:ascii="宋体" w:hAnsi="宋体" w:cs="宋体" w:eastAsia="宋体" w:hint="default"/>
                <w:sz w:val="18"/>
                <w:szCs w:val="18"/>
              </w:rPr>
              <w:t> </w:t>
            </w:r>
            <w:r>
              <w:rPr>
                <w:rFonts w:ascii="宋体" w:hAnsi="宋体" w:cs="宋体" w:eastAsia="宋体" w:hint="default"/>
                <w:spacing w:val="3"/>
                <w:sz w:val="18"/>
                <w:szCs w:val="18"/>
              </w:rPr>
              <w:t>条件的股份</w:t>
            </w:r>
            <w:r>
              <w:rPr>
                <w:rFonts w:ascii="宋体" w:hAnsi="宋体" w:cs="宋体" w:eastAsia="宋体" w:hint="default"/>
                <w:sz w:val="18"/>
                <w:szCs w:val="18"/>
              </w:rPr>
              <w:t> 数量</w:t>
            </w:r>
          </w:p>
        </w:tc>
        <w:tc>
          <w:tcPr>
            <w:tcW w:w="1135" w:type="dxa"/>
            <w:gridSpan w:val="2"/>
            <w:vMerge w:val="restart"/>
            <w:tcBorders>
              <w:top w:val="single" w:sz="4" w:space="0" w:color="000000"/>
              <w:left w:val="single" w:sz="4" w:space="0" w:color="000000"/>
              <w:right w:val="single" w:sz="4" w:space="0" w:color="000000"/>
            </w:tcBorders>
          </w:tcPr>
          <w:p>
            <w:pPr>
              <w:pStyle w:val="TableParagraph"/>
              <w:spacing w:line="232" w:lineRule="exact" w:before="83"/>
              <w:ind w:left="103" w:right="101"/>
              <w:jc w:val="both"/>
              <w:rPr>
                <w:rFonts w:ascii="宋体" w:hAnsi="宋体" w:cs="宋体" w:eastAsia="宋体" w:hint="default"/>
                <w:sz w:val="18"/>
                <w:szCs w:val="18"/>
              </w:rPr>
            </w:pPr>
            <w:r>
              <w:rPr>
                <w:rFonts w:ascii="宋体" w:hAnsi="宋体" w:cs="宋体" w:eastAsia="宋体" w:hint="default"/>
                <w:spacing w:val="3"/>
                <w:sz w:val="18"/>
                <w:szCs w:val="18"/>
              </w:rPr>
              <w:t>持有无限售</w:t>
            </w:r>
            <w:r>
              <w:rPr>
                <w:rFonts w:ascii="宋体" w:hAnsi="宋体" w:cs="宋体" w:eastAsia="宋体" w:hint="default"/>
                <w:sz w:val="18"/>
                <w:szCs w:val="18"/>
              </w:rPr>
              <w:t> </w:t>
            </w:r>
            <w:r>
              <w:rPr>
                <w:rFonts w:ascii="宋体" w:hAnsi="宋体" w:cs="宋体" w:eastAsia="宋体" w:hint="default"/>
                <w:spacing w:val="3"/>
                <w:sz w:val="18"/>
                <w:szCs w:val="18"/>
              </w:rPr>
              <w:t>条件的股份</w:t>
            </w:r>
            <w:r>
              <w:rPr>
                <w:rFonts w:ascii="宋体" w:hAnsi="宋体" w:cs="宋体" w:eastAsia="宋体" w:hint="default"/>
                <w:sz w:val="18"/>
                <w:szCs w:val="18"/>
              </w:rPr>
              <w:t> 数量</w:t>
            </w:r>
          </w:p>
        </w:tc>
        <w:tc>
          <w:tcPr>
            <w:tcW w:w="16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78" w:hRule="exact"/>
        </w:trPr>
        <w:tc>
          <w:tcPr>
            <w:tcW w:w="1781" w:type="dxa"/>
            <w:gridSpan w:val="2"/>
            <w:vMerge/>
            <w:tcBorders>
              <w:left w:val="single" w:sz="4" w:space="0" w:color="000000"/>
              <w:bottom w:val="single" w:sz="4" w:space="0" w:color="000000"/>
              <w:right w:val="single" w:sz="4" w:space="0" w:color="000000"/>
            </w:tcBorders>
          </w:tcPr>
          <w:p>
            <w:pPr/>
          </w:p>
        </w:tc>
        <w:tc>
          <w:tcPr>
            <w:tcW w:w="967" w:type="dxa"/>
            <w:gridSpan w:val="2"/>
            <w:vMerge/>
            <w:tcBorders>
              <w:left w:val="single" w:sz="4" w:space="0" w:color="000000"/>
              <w:bottom w:val="single" w:sz="4" w:space="0" w:color="000000"/>
              <w:right w:val="single" w:sz="4" w:space="0" w:color="000000"/>
            </w:tcBorders>
          </w:tcPr>
          <w:p>
            <w:pPr/>
          </w:p>
        </w:tc>
        <w:tc>
          <w:tcPr>
            <w:tcW w:w="698" w:type="dxa"/>
            <w:vMerge/>
            <w:tcBorders>
              <w:left w:val="single" w:sz="4" w:space="0" w:color="000000"/>
              <w:bottom w:val="single" w:sz="4" w:space="0" w:color="000000"/>
              <w:right w:val="single" w:sz="4" w:space="0" w:color="000000"/>
            </w:tcBorders>
          </w:tcPr>
          <w:p>
            <w:pPr/>
          </w:p>
        </w:tc>
        <w:tc>
          <w:tcPr>
            <w:tcW w:w="1090" w:type="dxa"/>
            <w:gridSpan w:val="2"/>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1133" w:type="dxa"/>
            <w:gridSpan w:val="3"/>
            <w:vMerge/>
            <w:tcBorders>
              <w:left w:val="single" w:sz="4" w:space="0" w:color="000000"/>
              <w:bottom w:val="single" w:sz="4" w:space="0" w:color="000000"/>
              <w:right w:val="single" w:sz="4" w:space="0" w:color="000000"/>
            </w:tcBorders>
          </w:tcPr>
          <w:p>
            <w:pPr/>
          </w:p>
        </w:tc>
        <w:tc>
          <w:tcPr>
            <w:tcW w:w="1135" w:type="dxa"/>
            <w:gridSpan w:val="2"/>
            <w:vMerge/>
            <w:tcBorders>
              <w:left w:val="single" w:sz="4" w:space="0" w:color="000000"/>
              <w:bottom w:val="single" w:sz="4" w:space="0" w:color="000000"/>
              <w:right w:val="single" w:sz="4" w:space="0" w:color="000000"/>
            </w:tcBorders>
          </w:tcPr>
          <w:p>
            <w:pPr/>
          </w:p>
        </w:tc>
        <w:tc>
          <w:tcPr>
            <w:tcW w:w="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75"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2"/>
                <w:sz w:val="18"/>
                <w:szCs w:val="18"/>
              </w:rPr>
              <w:t> </w:t>
            </w:r>
            <w:r>
              <w:rPr>
                <w:rFonts w:ascii="宋体" w:hAnsi="宋体" w:cs="宋体" w:eastAsia="宋体" w:hint="default"/>
                <w:spacing w:val="14"/>
                <w:sz w:val="18"/>
                <w:szCs w:val="18"/>
              </w:rPr>
              <w:t>孝昌鹰溪谷投资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6"/>
              <w:jc w:val="right"/>
              <w:rPr>
                <w:rFonts w:ascii="Calibri" w:hAnsi="Calibri" w:cs="Calibri" w:eastAsia="Calibri" w:hint="default"/>
                <w:sz w:val="16"/>
                <w:szCs w:val="16"/>
              </w:rPr>
            </w:pPr>
            <w:r>
              <w:rPr>
                <w:rFonts w:ascii="Calibri"/>
                <w:sz w:val="16"/>
              </w:rPr>
              <w:t>23.86</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5" w:right="0"/>
              <w:jc w:val="left"/>
              <w:rPr>
                <w:rFonts w:ascii="Calibri" w:hAnsi="Calibri" w:cs="Calibri" w:eastAsia="Calibri" w:hint="default"/>
                <w:sz w:val="16"/>
                <w:szCs w:val="16"/>
              </w:rPr>
            </w:pPr>
            <w:r>
              <w:rPr>
                <w:rFonts w:ascii="Calibri"/>
                <w:sz w:val="16"/>
              </w:rPr>
              <w:t>148,360,844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100"/>
                <w:sz w:val="16"/>
              </w:rPr>
              <w:t>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08" w:right="0"/>
              <w:jc w:val="left"/>
              <w:rPr>
                <w:rFonts w:ascii="Calibri" w:hAnsi="Calibri" w:cs="Calibri" w:eastAsia="Calibri" w:hint="default"/>
                <w:sz w:val="16"/>
                <w:szCs w:val="16"/>
              </w:rPr>
            </w:pPr>
            <w:r>
              <w:rPr>
                <w:rFonts w:ascii="Calibri"/>
                <w:sz w:val="16"/>
              </w:rPr>
              <w:t>148,360,844</w:t>
            </w:r>
          </w:p>
        </w:tc>
        <w:tc>
          <w:tcPr>
            <w:tcW w:w="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54" w:right="0"/>
              <w:jc w:val="left"/>
              <w:rPr>
                <w:rFonts w:ascii="Calibri" w:hAnsi="Calibri" w:cs="Calibri" w:eastAsia="Calibri" w:hint="default"/>
                <w:sz w:val="16"/>
                <w:szCs w:val="16"/>
              </w:rPr>
            </w:pPr>
            <w:r>
              <w:rPr>
                <w:rFonts w:ascii="Calibri"/>
                <w:sz w:val="16"/>
              </w:rPr>
              <w:t>90,000,000</w:t>
            </w:r>
          </w:p>
        </w:tc>
      </w:tr>
      <w:tr>
        <w:trPr>
          <w:trHeight w:val="478"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2"/>
                <w:sz w:val="18"/>
                <w:szCs w:val="18"/>
              </w:rPr>
              <w:t> </w:t>
            </w:r>
            <w:r>
              <w:rPr>
                <w:rFonts w:ascii="宋体" w:hAnsi="宋体" w:cs="宋体" w:eastAsia="宋体" w:hint="default"/>
                <w:spacing w:val="14"/>
                <w:sz w:val="18"/>
                <w:szCs w:val="18"/>
              </w:rPr>
              <w:t>中兆投资管理有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6"/>
              <w:jc w:val="right"/>
              <w:rPr>
                <w:rFonts w:ascii="Calibri" w:hAnsi="Calibri" w:cs="Calibri" w:eastAsia="Calibri" w:hint="default"/>
                <w:sz w:val="16"/>
                <w:szCs w:val="16"/>
              </w:rPr>
            </w:pPr>
            <w:r>
              <w:rPr>
                <w:rFonts w:ascii="Calibri"/>
                <w:sz w:val="16"/>
              </w:rPr>
              <w:t>22.20</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8" w:right="0"/>
              <w:jc w:val="left"/>
              <w:rPr>
                <w:rFonts w:ascii="Calibri" w:hAnsi="Calibri" w:cs="Calibri" w:eastAsia="Calibri" w:hint="default"/>
                <w:sz w:val="16"/>
                <w:szCs w:val="16"/>
              </w:rPr>
            </w:pPr>
            <w:r>
              <w:rPr>
                <w:rFonts w:ascii="Calibri"/>
                <w:sz w:val="16"/>
              </w:rPr>
              <w:t>138,074,832</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Calibri" w:hAnsi="Calibri" w:cs="Calibri" w:eastAsia="Calibri" w:hint="default"/>
                <w:sz w:val="16"/>
                <w:szCs w:val="16"/>
              </w:rPr>
            </w:pPr>
            <w:r>
              <w:rPr>
                <w:rFonts w:ascii="宋体"/>
                <w:sz w:val="16"/>
              </w:rPr>
              <w:t>-</w:t>
            </w:r>
            <w:r>
              <w:rPr>
                <w:rFonts w:ascii="Calibri"/>
                <w:sz w:val="16"/>
              </w:rPr>
              <w:t>70,000,000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11" w:right="0"/>
              <w:jc w:val="left"/>
              <w:rPr>
                <w:rFonts w:ascii="Calibri" w:hAnsi="Calibri" w:cs="Calibri" w:eastAsia="Calibri" w:hint="default"/>
                <w:sz w:val="16"/>
                <w:szCs w:val="16"/>
              </w:rPr>
            </w:pPr>
            <w:r>
              <w:rPr>
                <w:rFonts w:ascii="Calibri"/>
                <w:sz w:val="16"/>
              </w:rPr>
              <w:t>138,074,832</w:t>
            </w:r>
          </w:p>
        </w:tc>
        <w:tc>
          <w:tcPr>
            <w:tcW w:w="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80" w:right="0"/>
              <w:jc w:val="left"/>
              <w:rPr>
                <w:rFonts w:ascii="Calibri" w:hAnsi="Calibri" w:cs="Calibri" w:eastAsia="Calibri" w:hint="default"/>
                <w:sz w:val="16"/>
                <w:szCs w:val="16"/>
              </w:rPr>
            </w:pPr>
            <w:r>
              <w:rPr>
                <w:rFonts w:ascii="Calibri"/>
                <w:sz w:val="16"/>
              </w:rPr>
              <w:t>138,074,832</w:t>
            </w:r>
          </w:p>
        </w:tc>
      </w:tr>
      <w:tr>
        <w:trPr>
          <w:trHeight w:val="478"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2"/>
                <w:sz w:val="18"/>
                <w:szCs w:val="18"/>
              </w:rPr>
              <w:t> </w:t>
            </w:r>
            <w:r>
              <w:rPr>
                <w:rFonts w:ascii="宋体" w:hAnsi="宋体" w:cs="宋体" w:eastAsia="宋体" w:hint="default"/>
                <w:spacing w:val="14"/>
                <w:sz w:val="18"/>
                <w:szCs w:val="18"/>
              </w:rPr>
              <w:t>深圳通泰达投资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有法人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6"/>
              <w:jc w:val="right"/>
              <w:rPr>
                <w:rFonts w:ascii="Calibri" w:hAnsi="Calibri" w:cs="Calibri" w:eastAsia="Calibri" w:hint="default"/>
                <w:sz w:val="16"/>
                <w:szCs w:val="16"/>
              </w:rPr>
            </w:pPr>
            <w:r>
              <w:rPr>
                <w:rFonts w:ascii="Calibri"/>
                <w:sz w:val="16"/>
              </w:rPr>
              <w:t>11.26</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49" w:right="0"/>
              <w:jc w:val="left"/>
              <w:rPr>
                <w:rFonts w:ascii="Calibri" w:hAnsi="Calibri" w:cs="Calibri" w:eastAsia="Calibri" w:hint="default"/>
                <w:sz w:val="16"/>
                <w:szCs w:val="16"/>
              </w:rPr>
            </w:pPr>
            <w:r>
              <w:rPr>
                <w:rFonts w:ascii="Calibri"/>
                <w:sz w:val="16"/>
              </w:rPr>
              <w:t>70,000,000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2" w:right="0"/>
              <w:jc w:val="left"/>
              <w:rPr>
                <w:rFonts w:ascii="Calibri" w:hAnsi="Calibri" w:cs="Calibri" w:eastAsia="Calibri" w:hint="default"/>
                <w:sz w:val="16"/>
                <w:szCs w:val="16"/>
              </w:rPr>
            </w:pPr>
            <w:r>
              <w:rPr>
                <w:rFonts w:ascii="Calibri"/>
                <w:sz w:val="16"/>
              </w:rPr>
              <w:t>70,000,000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2" w:right="0"/>
              <w:jc w:val="left"/>
              <w:rPr>
                <w:rFonts w:ascii="Calibri" w:hAnsi="Calibri" w:cs="Calibri" w:eastAsia="Calibri" w:hint="default"/>
                <w:sz w:val="16"/>
                <w:szCs w:val="16"/>
              </w:rPr>
            </w:pPr>
            <w:r>
              <w:rPr>
                <w:rFonts w:ascii="Calibri"/>
                <w:sz w:val="16"/>
              </w:rPr>
              <w:t>70,000,000</w:t>
            </w:r>
          </w:p>
        </w:tc>
        <w:tc>
          <w:tcPr>
            <w:tcW w:w="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57" w:right="0"/>
              <w:jc w:val="left"/>
              <w:rPr>
                <w:rFonts w:ascii="Calibri" w:hAnsi="Calibri" w:cs="Calibri" w:eastAsia="Calibri" w:hint="default"/>
                <w:sz w:val="16"/>
                <w:szCs w:val="16"/>
              </w:rPr>
            </w:pPr>
            <w:r>
              <w:rPr>
                <w:rFonts w:ascii="Calibri"/>
                <w:sz w:val="16"/>
              </w:rPr>
              <w:t>70,000,000</w:t>
            </w:r>
          </w:p>
        </w:tc>
      </w:tr>
      <w:tr>
        <w:trPr>
          <w:trHeight w:val="475"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2"/>
                <w:sz w:val="18"/>
                <w:szCs w:val="18"/>
              </w:rPr>
              <w:t> </w:t>
            </w:r>
            <w:r>
              <w:rPr>
                <w:rFonts w:ascii="宋体" w:hAnsi="宋体" w:cs="宋体" w:eastAsia="宋体" w:hint="default"/>
                <w:spacing w:val="14"/>
                <w:sz w:val="18"/>
                <w:szCs w:val="18"/>
              </w:rPr>
              <w:t>上海峰幽投资管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理中心(普通合伙)</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6"/>
              <w:jc w:val="right"/>
              <w:rPr>
                <w:rFonts w:ascii="Calibri" w:hAnsi="Calibri" w:cs="Calibri" w:eastAsia="Calibri" w:hint="default"/>
                <w:sz w:val="16"/>
                <w:szCs w:val="16"/>
              </w:rPr>
            </w:pPr>
            <w:r>
              <w:rPr>
                <w:rFonts w:ascii="Calibri"/>
                <w:sz w:val="16"/>
              </w:rPr>
              <w:t>4.25</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49" w:right="0"/>
              <w:jc w:val="left"/>
              <w:rPr>
                <w:rFonts w:ascii="Calibri" w:hAnsi="Calibri" w:cs="Calibri" w:eastAsia="Calibri" w:hint="default"/>
                <w:sz w:val="16"/>
                <w:szCs w:val="16"/>
              </w:rPr>
            </w:pPr>
            <w:r>
              <w:rPr>
                <w:rFonts w:ascii="Calibri"/>
                <w:sz w:val="16"/>
              </w:rPr>
              <w:t>26,445,783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100"/>
                <w:sz w:val="16"/>
              </w:rPr>
              <w:t>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2" w:right="0"/>
              <w:jc w:val="left"/>
              <w:rPr>
                <w:rFonts w:ascii="Calibri" w:hAnsi="Calibri" w:cs="Calibri" w:eastAsia="Calibri" w:hint="default"/>
                <w:sz w:val="16"/>
                <w:szCs w:val="16"/>
              </w:rPr>
            </w:pPr>
            <w:r>
              <w:rPr>
                <w:rFonts w:ascii="Calibri"/>
                <w:sz w:val="16"/>
              </w:rPr>
              <w:t>26,445,783</w:t>
            </w:r>
          </w:p>
        </w:tc>
        <w:tc>
          <w:tcPr>
            <w:tcW w:w="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57" w:right="0"/>
              <w:jc w:val="left"/>
              <w:rPr>
                <w:rFonts w:ascii="Calibri" w:hAnsi="Calibri" w:cs="Calibri" w:eastAsia="Calibri" w:hint="default"/>
                <w:sz w:val="16"/>
                <w:szCs w:val="16"/>
              </w:rPr>
            </w:pPr>
            <w:r>
              <w:rPr>
                <w:rFonts w:ascii="Calibri"/>
                <w:sz w:val="16"/>
              </w:rPr>
              <w:t>26,445,783</w:t>
            </w:r>
          </w:p>
        </w:tc>
      </w:tr>
      <w:tr>
        <w:trPr>
          <w:trHeight w:val="478"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2"/>
                <w:sz w:val="18"/>
                <w:szCs w:val="18"/>
              </w:rPr>
              <w:t> </w:t>
            </w:r>
            <w:r>
              <w:rPr>
                <w:rFonts w:ascii="宋体" w:hAnsi="宋体" w:cs="宋体" w:eastAsia="宋体" w:hint="default"/>
                <w:spacing w:val="14"/>
                <w:sz w:val="18"/>
                <w:szCs w:val="18"/>
              </w:rPr>
              <w:t>深圳茂业百货有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6"/>
              <w:jc w:val="right"/>
              <w:rPr>
                <w:rFonts w:ascii="Calibri" w:hAnsi="Calibri" w:cs="Calibri" w:eastAsia="Calibri" w:hint="default"/>
                <w:sz w:val="16"/>
                <w:szCs w:val="16"/>
              </w:rPr>
            </w:pPr>
            <w:r>
              <w:rPr>
                <w:rFonts w:ascii="Calibri"/>
                <w:sz w:val="16"/>
              </w:rPr>
              <w:t>2.00</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47" w:right="0"/>
              <w:jc w:val="left"/>
              <w:rPr>
                <w:rFonts w:ascii="Calibri" w:hAnsi="Calibri" w:cs="Calibri" w:eastAsia="Calibri" w:hint="default"/>
                <w:sz w:val="16"/>
                <w:szCs w:val="16"/>
              </w:rPr>
            </w:pPr>
            <w:r>
              <w:rPr>
                <w:rFonts w:ascii="Calibri"/>
                <w:sz w:val="16"/>
              </w:rPr>
              <w:t>12,436,095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16"/>
                <w:szCs w:val="16"/>
              </w:rPr>
            </w:pPr>
            <w:r>
              <w:rPr>
                <w:rFonts w:ascii="Calibri"/>
                <w:w w:val="100"/>
                <w:sz w:val="16"/>
              </w:rPr>
              <w:t>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90" w:right="0"/>
              <w:jc w:val="left"/>
              <w:rPr>
                <w:rFonts w:ascii="Calibri" w:hAnsi="Calibri" w:cs="Calibri" w:eastAsia="Calibri" w:hint="default"/>
                <w:sz w:val="16"/>
                <w:szCs w:val="16"/>
              </w:rPr>
            </w:pPr>
            <w:r>
              <w:rPr>
                <w:rFonts w:ascii="Calibri"/>
                <w:sz w:val="16"/>
              </w:rPr>
              <w:t>12,436,095</w:t>
            </w:r>
          </w:p>
        </w:tc>
        <w:tc>
          <w:tcPr>
            <w:tcW w:w="602" w:type="dxa"/>
            <w:gridSpan w:val="2"/>
            <w:tcBorders>
              <w:top w:val="single" w:sz="4" w:space="0" w:color="000000"/>
              <w:left w:val="single" w:sz="4" w:space="0" w:color="000000"/>
              <w:bottom w:val="single" w:sz="4" w:space="0" w:color="000000"/>
              <w:right w:val="single" w:sz="4" w:space="0" w:color="000000"/>
            </w:tcBorders>
          </w:tcPr>
          <w:p>
            <w:pP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16"/>
                <w:szCs w:val="16"/>
              </w:rPr>
            </w:pPr>
            <w:r>
              <w:rPr>
                <w:rFonts w:ascii="Calibri"/>
                <w:w w:val="100"/>
                <w:sz w:val="16"/>
              </w:rPr>
              <w:t>0</w:t>
            </w:r>
          </w:p>
        </w:tc>
      </w:tr>
      <w:tr>
        <w:trPr>
          <w:trHeight w:val="478"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秦皇岛市国有资产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经营控股有限公司</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6"/>
                <w:sz w:val="18"/>
                <w:szCs w:val="18"/>
              </w:rPr>
              <w:t>国家</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6"/>
              <w:jc w:val="right"/>
              <w:rPr>
                <w:rFonts w:ascii="Calibri" w:hAnsi="Calibri" w:cs="Calibri" w:eastAsia="Calibri" w:hint="default"/>
                <w:sz w:val="16"/>
                <w:szCs w:val="16"/>
              </w:rPr>
            </w:pPr>
            <w:r>
              <w:rPr>
                <w:rFonts w:ascii="Calibri"/>
                <w:sz w:val="16"/>
              </w:rPr>
              <w:t>1.89</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52" w:right="0"/>
              <w:jc w:val="left"/>
              <w:rPr>
                <w:rFonts w:ascii="Calibri" w:hAnsi="Calibri" w:cs="Calibri" w:eastAsia="Calibri" w:hint="default"/>
                <w:sz w:val="16"/>
                <w:szCs w:val="16"/>
              </w:rPr>
            </w:pPr>
            <w:r>
              <w:rPr>
                <w:rFonts w:ascii="Calibri"/>
                <w:sz w:val="16"/>
              </w:rPr>
              <w:t>11,742,341</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16"/>
                <w:szCs w:val="16"/>
              </w:rPr>
            </w:pPr>
            <w:r>
              <w:rPr>
                <w:rFonts w:ascii="Calibri"/>
                <w:w w:val="100"/>
                <w:sz w:val="16"/>
              </w:rPr>
              <w:t>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95" w:right="0"/>
              <w:jc w:val="left"/>
              <w:rPr>
                <w:rFonts w:ascii="Calibri" w:hAnsi="Calibri" w:cs="Calibri" w:eastAsia="Calibri" w:hint="default"/>
                <w:sz w:val="16"/>
                <w:szCs w:val="16"/>
              </w:rPr>
            </w:pPr>
            <w:r>
              <w:rPr>
                <w:rFonts w:ascii="Calibri"/>
                <w:sz w:val="16"/>
              </w:rPr>
              <w:t>11,742,341</w:t>
            </w:r>
          </w:p>
        </w:tc>
        <w:tc>
          <w:tcPr>
            <w:tcW w:w="602" w:type="dxa"/>
            <w:gridSpan w:val="2"/>
            <w:tcBorders>
              <w:top w:val="single" w:sz="4" w:space="0" w:color="000000"/>
              <w:left w:val="single" w:sz="4" w:space="0" w:color="000000"/>
              <w:bottom w:val="single" w:sz="4" w:space="0" w:color="000000"/>
              <w:right w:val="single" w:sz="4" w:space="0" w:color="000000"/>
            </w:tcBorders>
          </w:tcPr>
          <w:p>
            <w:pP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16"/>
                <w:szCs w:val="16"/>
              </w:rPr>
            </w:pPr>
            <w:r>
              <w:rPr>
                <w:rFonts w:ascii="Calibri"/>
                <w:w w:val="100"/>
                <w:sz w:val="16"/>
              </w:rPr>
              <w:t>0</w:t>
            </w:r>
          </w:p>
        </w:tc>
      </w:tr>
      <w:tr>
        <w:trPr>
          <w:trHeight w:val="1176"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22"/>
                <w:sz w:val="18"/>
                <w:szCs w:val="18"/>
              </w:rPr>
              <w:t> </w:t>
            </w:r>
            <w:r>
              <w:rPr>
                <w:rFonts w:ascii="宋体" w:hAnsi="宋体" w:cs="宋体" w:eastAsia="宋体" w:hint="default"/>
                <w:spacing w:val="14"/>
                <w:sz w:val="18"/>
                <w:szCs w:val="18"/>
              </w:rPr>
              <w:t>长安国际信托股</w:t>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3"/>
                <w:sz w:val="18"/>
                <w:szCs w:val="18"/>
              </w:rPr>
              <w:t>份有限公司-长安信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托-长安投资 624</w:t>
            </w:r>
            <w:r>
              <w:rPr>
                <w:rFonts w:ascii="宋体" w:hAnsi="宋体" w:cs="宋体" w:eastAsia="宋体" w:hint="default"/>
                <w:spacing w:val="-53"/>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pacing w:val="15"/>
                <w:sz w:val="18"/>
                <w:szCs w:val="18"/>
              </w:rPr>
              <w:t>证券投资集合资金</w:t>
            </w:r>
            <w:r>
              <w:rPr>
                <w:rFonts w:ascii="宋体" w:hAnsi="宋体" w:cs="宋体" w:eastAsia="宋体" w:hint="default"/>
                <w:sz w:val="18"/>
                <w:szCs w:val="18"/>
              </w:rPr>
              <w:t> 信托计划</w:t>
            </w:r>
          </w:p>
        </w:tc>
        <w:tc>
          <w:tcPr>
            <w:tcW w:w="967" w:type="dxa"/>
            <w:gridSpan w:val="2"/>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6"/>
                <w:szCs w:val="16"/>
              </w:rPr>
            </w:pPr>
            <w:r>
              <w:rPr>
                <w:rFonts w:ascii="Calibri"/>
                <w:sz w:val="16"/>
              </w:rPr>
              <w:t>1.50</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1" w:right="0"/>
              <w:jc w:val="left"/>
              <w:rPr>
                <w:rFonts w:ascii="Calibri" w:hAnsi="Calibri" w:cs="Calibri" w:eastAsia="Calibri" w:hint="default"/>
                <w:sz w:val="16"/>
                <w:szCs w:val="16"/>
              </w:rPr>
            </w:pPr>
            <w:r>
              <w:rPr>
                <w:rFonts w:ascii="Calibri"/>
                <w:sz w:val="16"/>
              </w:rPr>
              <w:t>9,315,728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74" w:right="0"/>
              <w:jc w:val="left"/>
              <w:rPr>
                <w:rFonts w:ascii="Calibri" w:hAnsi="Calibri" w:cs="Calibri" w:eastAsia="Calibri" w:hint="default"/>
                <w:sz w:val="16"/>
                <w:szCs w:val="16"/>
              </w:rPr>
            </w:pPr>
            <w:r>
              <w:rPr>
                <w:rFonts w:ascii="Calibri"/>
                <w:sz w:val="16"/>
              </w:rPr>
              <w:t>9,315,728</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74" w:right="0"/>
              <w:jc w:val="left"/>
              <w:rPr>
                <w:rFonts w:ascii="Calibri" w:hAnsi="Calibri" w:cs="Calibri" w:eastAsia="Calibri" w:hint="default"/>
                <w:sz w:val="16"/>
                <w:szCs w:val="16"/>
              </w:rPr>
            </w:pPr>
            <w:r>
              <w:rPr>
                <w:rFonts w:ascii="Calibri"/>
                <w:sz w:val="16"/>
              </w:rPr>
              <w:t>9,315,728</w:t>
            </w:r>
          </w:p>
        </w:tc>
        <w:tc>
          <w:tcPr>
            <w:tcW w:w="602" w:type="dxa"/>
            <w:gridSpan w:val="2"/>
            <w:tcBorders>
              <w:top w:val="single" w:sz="4" w:space="0" w:color="000000"/>
              <w:left w:val="single" w:sz="4" w:space="0" w:color="000000"/>
              <w:bottom w:val="single" w:sz="4" w:space="0" w:color="000000"/>
              <w:right w:val="single" w:sz="4" w:space="0" w:color="000000"/>
            </w:tcBorders>
          </w:tcPr>
          <w:p>
            <w:pP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6"/>
                <w:szCs w:val="16"/>
              </w:rPr>
            </w:pPr>
            <w:r>
              <w:rPr>
                <w:rFonts w:ascii="Calibri"/>
                <w:w w:val="100"/>
                <w:sz w:val="16"/>
              </w:rPr>
              <w:t>0</w:t>
            </w:r>
          </w:p>
        </w:tc>
      </w:tr>
      <w:tr>
        <w:trPr>
          <w:trHeight w:val="1178"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22"/>
                <w:sz w:val="18"/>
                <w:szCs w:val="18"/>
              </w:rPr>
              <w:t> </w:t>
            </w:r>
            <w:r>
              <w:rPr>
                <w:rFonts w:ascii="宋体" w:hAnsi="宋体" w:cs="宋体" w:eastAsia="宋体" w:hint="default"/>
                <w:spacing w:val="14"/>
                <w:sz w:val="18"/>
                <w:szCs w:val="18"/>
              </w:rPr>
              <w:t>长安国际信托股</w:t>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3"/>
                <w:sz w:val="18"/>
                <w:szCs w:val="18"/>
              </w:rPr>
              <w:t>份有限公司-长安信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托-长安投资 832</w:t>
            </w:r>
            <w:r>
              <w:rPr>
                <w:rFonts w:ascii="宋体" w:hAnsi="宋体" w:cs="宋体" w:eastAsia="宋体" w:hint="default"/>
                <w:spacing w:val="-53"/>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pacing w:val="15"/>
                <w:sz w:val="18"/>
                <w:szCs w:val="18"/>
              </w:rPr>
              <w:t>证券投资集合资金</w:t>
            </w:r>
            <w:r>
              <w:rPr>
                <w:rFonts w:ascii="宋体" w:hAnsi="宋体" w:cs="宋体" w:eastAsia="宋体" w:hint="default"/>
                <w:sz w:val="18"/>
                <w:szCs w:val="18"/>
              </w:rPr>
              <w:t> 信托计划</w:t>
            </w:r>
          </w:p>
        </w:tc>
        <w:tc>
          <w:tcPr>
            <w:tcW w:w="967" w:type="dxa"/>
            <w:gridSpan w:val="2"/>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6"/>
                <w:szCs w:val="16"/>
              </w:rPr>
            </w:pPr>
            <w:r>
              <w:rPr>
                <w:rFonts w:ascii="Calibri"/>
                <w:sz w:val="16"/>
              </w:rPr>
              <w:t>1.44</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6" w:right="0"/>
              <w:jc w:val="left"/>
              <w:rPr>
                <w:rFonts w:ascii="Calibri" w:hAnsi="Calibri" w:cs="Calibri" w:eastAsia="Calibri" w:hint="default"/>
                <w:sz w:val="16"/>
                <w:szCs w:val="16"/>
              </w:rPr>
            </w:pPr>
            <w:r>
              <w:rPr>
                <w:rFonts w:ascii="Calibri"/>
                <w:sz w:val="16"/>
              </w:rPr>
              <w:t>8,943,527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79" w:right="0"/>
              <w:jc w:val="left"/>
              <w:rPr>
                <w:rFonts w:ascii="Calibri" w:hAnsi="Calibri" w:cs="Calibri" w:eastAsia="Calibri" w:hint="default"/>
                <w:sz w:val="16"/>
                <w:szCs w:val="16"/>
              </w:rPr>
            </w:pPr>
            <w:r>
              <w:rPr>
                <w:rFonts w:ascii="Calibri"/>
                <w:sz w:val="16"/>
              </w:rPr>
              <w:t>8,943,527</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79" w:right="0"/>
              <w:jc w:val="left"/>
              <w:rPr>
                <w:rFonts w:ascii="Calibri" w:hAnsi="Calibri" w:cs="Calibri" w:eastAsia="Calibri" w:hint="default"/>
                <w:sz w:val="16"/>
                <w:szCs w:val="16"/>
              </w:rPr>
            </w:pPr>
            <w:r>
              <w:rPr>
                <w:rFonts w:ascii="Calibri"/>
                <w:sz w:val="16"/>
              </w:rPr>
              <w:t>8,943,527</w:t>
            </w:r>
          </w:p>
        </w:tc>
        <w:tc>
          <w:tcPr>
            <w:tcW w:w="602" w:type="dxa"/>
            <w:gridSpan w:val="2"/>
            <w:tcBorders>
              <w:top w:val="single" w:sz="4" w:space="0" w:color="000000"/>
              <w:left w:val="single" w:sz="4" w:space="0" w:color="000000"/>
              <w:bottom w:val="single" w:sz="4" w:space="0" w:color="000000"/>
              <w:right w:val="single" w:sz="4" w:space="0" w:color="000000"/>
            </w:tcBorders>
          </w:tcPr>
          <w:p>
            <w:pP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6"/>
                <w:szCs w:val="16"/>
              </w:rPr>
            </w:pPr>
            <w:r>
              <w:rPr>
                <w:rFonts w:ascii="Calibri"/>
                <w:w w:val="100"/>
                <w:sz w:val="16"/>
              </w:rPr>
              <w:t>0</w:t>
            </w:r>
          </w:p>
        </w:tc>
      </w:tr>
      <w:tr>
        <w:trPr>
          <w:trHeight w:val="634"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朱胜华</w:t>
            </w:r>
          </w:p>
        </w:tc>
        <w:tc>
          <w:tcPr>
            <w:tcW w:w="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16"/>
                <w:szCs w:val="16"/>
              </w:rPr>
            </w:pPr>
            <w:r>
              <w:rPr>
                <w:rFonts w:ascii="Calibri"/>
                <w:sz w:val="16"/>
              </w:rPr>
              <w:t>0.75</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31" w:right="0"/>
              <w:jc w:val="left"/>
              <w:rPr>
                <w:rFonts w:ascii="Calibri" w:hAnsi="Calibri" w:cs="Calibri" w:eastAsia="Calibri" w:hint="default"/>
                <w:sz w:val="16"/>
                <w:szCs w:val="16"/>
              </w:rPr>
            </w:pPr>
            <w:r>
              <w:rPr>
                <w:rFonts w:ascii="Calibri"/>
                <w:sz w:val="16"/>
              </w:rPr>
              <w:t>4,679,100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4" w:right="0"/>
              <w:jc w:val="left"/>
              <w:rPr>
                <w:rFonts w:ascii="Calibri" w:hAnsi="Calibri" w:cs="Calibri" w:eastAsia="Calibri" w:hint="default"/>
                <w:sz w:val="16"/>
                <w:szCs w:val="16"/>
              </w:rPr>
            </w:pPr>
            <w:r>
              <w:rPr>
                <w:rFonts w:ascii="Calibri"/>
                <w:sz w:val="16"/>
              </w:rPr>
              <w:t>4,679,100</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74" w:right="0"/>
              <w:jc w:val="left"/>
              <w:rPr>
                <w:rFonts w:ascii="Calibri" w:hAnsi="Calibri" w:cs="Calibri" w:eastAsia="Calibri" w:hint="default"/>
                <w:sz w:val="16"/>
                <w:szCs w:val="16"/>
              </w:rPr>
            </w:pPr>
            <w:r>
              <w:rPr>
                <w:rFonts w:ascii="Calibri"/>
                <w:sz w:val="16"/>
              </w:rPr>
              <w:t>4,679,100</w:t>
            </w:r>
          </w:p>
        </w:tc>
        <w:tc>
          <w:tcPr>
            <w:tcW w:w="602" w:type="dxa"/>
            <w:gridSpan w:val="2"/>
            <w:tcBorders>
              <w:top w:val="single" w:sz="4" w:space="0" w:color="000000"/>
              <w:left w:val="single" w:sz="4" w:space="0" w:color="000000"/>
              <w:bottom w:val="single" w:sz="4" w:space="0" w:color="000000"/>
              <w:right w:val="single" w:sz="4" w:space="0" w:color="000000"/>
            </w:tcBorders>
          </w:tcPr>
          <w:p>
            <w:pP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16"/>
                <w:szCs w:val="16"/>
              </w:rPr>
            </w:pPr>
            <w:r>
              <w:rPr>
                <w:rFonts w:ascii="Calibri"/>
                <w:w w:val="100"/>
                <w:sz w:val="16"/>
              </w:rPr>
              <w:t>0</w:t>
            </w:r>
          </w:p>
        </w:tc>
      </w:tr>
      <w:tr>
        <w:trPr>
          <w:trHeight w:val="710" w:hRule="exact"/>
        </w:trPr>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10"/>
                <w:sz w:val="18"/>
                <w:szCs w:val="18"/>
              </w:rPr>
              <w:t> </w:t>
            </w:r>
            <w:r>
              <w:rPr>
                <w:rFonts w:ascii="宋体" w:hAnsi="宋体" w:cs="宋体" w:eastAsia="宋体" w:hint="default"/>
                <w:spacing w:val="3"/>
                <w:sz w:val="18"/>
                <w:szCs w:val="18"/>
              </w:rPr>
              <w:t>渤海国际信托股</w:t>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3"/>
                <w:sz w:val="18"/>
                <w:szCs w:val="18"/>
              </w:rPr>
              <w:t>份有限公司[景尚精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选]单一资金信托</w:t>
            </w:r>
          </w:p>
        </w:tc>
        <w:tc>
          <w:tcPr>
            <w:tcW w:w="967" w:type="dxa"/>
            <w:gridSpan w:val="2"/>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6"/>
                <w:szCs w:val="16"/>
              </w:rPr>
            </w:pPr>
            <w:r>
              <w:rPr>
                <w:rFonts w:ascii="Calibri"/>
                <w:spacing w:val="-1"/>
                <w:sz w:val="16"/>
              </w:rPr>
              <w:t>0.62</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6" w:right="0"/>
              <w:jc w:val="left"/>
              <w:rPr>
                <w:rFonts w:ascii="Calibri" w:hAnsi="Calibri" w:cs="Calibri" w:eastAsia="Calibri" w:hint="default"/>
                <w:sz w:val="16"/>
                <w:szCs w:val="16"/>
              </w:rPr>
            </w:pPr>
            <w:r>
              <w:rPr>
                <w:rFonts w:ascii="Calibri"/>
                <w:sz w:val="16"/>
              </w:rPr>
              <w:t>3,874,965</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79" w:right="0"/>
              <w:jc w:val="left"/>
              <w:rPr>
                <w:rFonts w:ascii="Calibri" w:hAnsi="Calibri" w:cs="Calibri" w:eastAsia="Calibri" w:hint="default"/>
                <w:sz w:val="16"/>
                <w:szCs w:val="16"/>
              </w:rPr>
            </w:pPr>
            <w:r>
              <w:rPr>
                <w:rFonts w:ascii="Calibri"/>
                <w:sz w:val="16"/>
              </w:rPr>
              <w:t>3,874,965</w:t>
            </w:r>
          </w:p>
        </w:tc>
        <w:tc>
          <w:tcPr>
            <w:tcW w:w="11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6"/>
                <w:szCs w:val="16"/>
              </w:rPr>
            </w:pPr>
            <w:r>
              <w:rPr>
                <w:rFonts w:ascii="Calibri"/>
                <w:w w:val="100"/>
                <w:sz w:val="16"/>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79" w:right="0"/>
              <w:jc w:val="left"/>
              <w:rPr>
                <w:rFonts w:ascii="Calibri" w:hAnsi="Calibri" w:cs="Calibri" w:eastAsia="Calibri" w:hint="default"/>
                <w:sz w:val="16"/>
                <w:szCs w:val="16"/>
              </w:rPr>
            </w:pPr>
            <w:r>
              <w:rPr>
                <w:rFonts w:ascii="Calibri"/>
                <w:sz w:val="16"/>
              </w:rPr>
              <w:t>3,874,965</w:t>
            </w:r>
          </w:p>
        </w:tc>
        <w:tc>
          <w:tcPr>
            <w:tcW w:w="602" w:type="dxa"/>
            <w:gridSpan w:val="2"/>
            <w:tcBorders>
              <w:top w:val="single" w:sz="4" w:space="0" w:color="000000"/>
              <w:left w:val="single" w:sz="4" w:space="0" w:color="000000"/>
              <w:bottom w:val="single" w:sz="4" w:space="0" w:color="000000"/>
              <w:right w:val="single" w:sz="4" w:space="0" w:color="000000"/>
            </w:tcBorders>
          </w:tcPr>
          <w:p>
            <w:pPr/>
          </w:p>
        </w:tc>
        <w:tc>
          <w:tcPr>
            <w:tcW w:w="1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16"/>
                <w:szCs w:val="16"/>
              </w:rPr>
            </w:pPr>
            <w:r>
              <w:rPr>
                <w:rFonts w:ascii="Calibri"/>
                <w:w w:val="100"/>
                <w:sz w:val="16"/>
              </w:rPr>
              <w:t>0</w:t>
            </w:r>
          </w:p>
        </w:tc>
      </w:tr>
      <w:tr>
        <w:trPr>
          <w:trHeight w:val="478" w:hRule="exact"/>
        </w:trPr>
        <w:tc>
          <w:tcPr>
            <w:tcW w:w="34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上述股东关联关系或是一致行动的说明</w:t>
            </w:r>
          </w:p>
        </w:tc>
        <w:tc>
          <w:tcPr>
            <w:tcW w:w="619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中兆投资与深圳茂业百货有限公司存在关联关系，鹰溪谷和峰幽投资是一致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行动人，除此之外未发现上述其他股东之间存在关联关系或是一致行动。</w:t>
            </w:r>
          </w:p>
        </w:tc>
      </w:tr>
      <w:tr>
        <w:trPr>
          <w:trHeight w:val="396" w:hRule="exact"/>
        </w:trPr>
        <w:tc>
          <w:tcPr>
            <w:tcW w:w="9638" w:type="dxa"/>
            <w:gridSpan w:val="18"/>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宋体" w:hAnsi="宋体" w:cs="宋体" w:eastAsia="宋体" w:hint="default"/>
                <w:spacing w:val="-3"/>
                <w:sz w:val="18"/>
                <w:szCs w:val="18"/>
              </w:rPr>
              <w:t>10</w:t>
            </w:r>
            <w:r>
              <w:rPr>
                <w:rFonts w:ascii="宋体" w:hAnsi="宋体" w:cs="宋体" w:eastAsia="宋体" w:hint="default"/>
                <w:spacing w:val="-53"/>
                <w:sz w:val="18"/>
                <w:szCs w:val="18"/>
              </w:rPr>
              <w:t> </w:t>
            </w:r>
            <w:r>
              <w:rPr>
                <w:rFonts w:ascii="宋体" w:hAnsi="宋体" w:cs="宋体" w:eastAsia="宋体" w:hint="default"/>
                <w:spacing w:val="-11"/>
                <w:sz w:val="18"/>
                <w:szCs w:val="18"/>
              </w:rPr>
              <w:t>名无限售条件股东持股情况</w:t>
            </w:r>
          </w:p>
        </w:tc>
      </w:tr>
      <w:tr>
        <w:trPr>
          <w:trHeight w:val="322" w:hRule="exact"/>
        </w:trPr>
        <w:tc>
          <w:tcPr>
            <w:tcW w:w="4819" w:type="dxa"/>
            <w:gridSpan w:val="8"/>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843" w:type="dxa"/>
            <w:gridSpan w:val="3"/>
            <w:vMerge w:val="restart"/>
            <w:tcBorders>
              <w:top w:val="single" w:sz="4" w:space="0" w:color="000000"/>
              <w:left w:val="single" w:sz="4" w:space="0" w:color="000000"/>
              <w:right w:val="single" w:sz="4" w:space="0" w:color="000000"/>
            </w:tcBorders>
          </w:tcPr>
          <w:p>
            <w:pPr>
              <w:pStyle w:val="TableParagraph"/>
              <w:spacing w:line="316" w:lineRule="auto" w:before="13"/>
              <w:ind w:left="103" w:right="108"/>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97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4819" w:type="dxa"/>
            <w:gridSpan w:val="8"/>
            <w:vMerge/>
            <w:tcBorders>
              <w:left w:val="single" w:sz="4" w:space="0" w:color="000000"/>
              <w:bottom w:val="single" w:sz="4" w:space="0" w:color="000000"/>
              <w:right w:val="single" w:sz="4" w:space="0" w:color="000000"/>
            </w:tcBorders>
          </w:tcPr>
          <w:p>
            <w:pPr/>
          </w:p>
        </w:tc>
        <w:tc>
          <w:tcPr>
            <w:tcW w:w="1843" w:type="dxa"/>
            <w:gridSpan w:val="3"/>
            <w:vMerge/>
            <w:tcBorders>
              <w:left w:val="single" w:sz="4" w:space="0" w:color="000000"/>
              <w:bottom w:val="single" w:sz="4" w:space="0" w:color="000000"/>
              <w:right w:val="single" w:sz="4" w:space="0" w:color="000000"/>
            </w:tcBorders>
          </w:tcPr>
          <w:p>
            <w:pP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05"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孝昌鹰溪谷投资中心(有限合伙)</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9" w:right="0"/>
              <w:jc w:val="left"/>
              <w:rPr>
                <w:rFonts w:ascii="宋体" w:hAnsi="宋体" w:cs="宋体" w:eastAsia="宋体" w:hint="default"/>
                <w:sz w:val="18"/>
                <w:szCs w:val="18"/>
              </w:rPr>
            </w:pPr>
            <w:r>
              <w:rPr>
                <w:rFonts w:ascii="宋体"/>
                <w:sz w:val="18"/>
              </w:rPr>
              <w:t>148,360,844</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14" w:right="0"/>
              <w:jc w:val="left"/>
              <w:rPr>
                <w:rFonts w:ascii="宋体" w:hAnsi="宋体" w:cs="宋体" w:eastAsia="宋体" w:hint="default"/>
                <w:sz w:val="18"/>
                <w:szCs w:val="18"/>
              </w:rPr>
            </w:pPr>
            <w:r>
              <w:rPr>
                <w:rFonts w:ascii="宋体"/>
                <w:sz w:val="18"/>
              </w:rPr>
              <w:t>148,360,844</w:t>
            </w:r>
          </w:p>
        </w:tc>
      </w:tr>
      <w:tr>
        <w:trPr>
          <w:trHeight w:val="307"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中兆投资管理有限公司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9" w:right="0"/>
              <w:jc w:val="left"/>
              <w:rPr>
                <w:rFonts w:ascii="宋体" w:hAnsi="宋体" w:cs="宋体" w:eastAsia="宋体" w:hint="default"/>
                <w:sz w:val="18"/>
                <w:szCs w:val="18"/>
              </w:rPr>
            </w:pPr>
            <w:r>
              <w:rPr>
                <w:rFonts w:ascii="宋体"/>
                <w:sz w:val="18"/>
              </w:rPr>
              <w:t>138,074,832</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14" w:right="0"/>
              <w:jc w:val="left"/>
              <w:rPr>
                <w:rFonts w:ascii="宋体" w:hAnsi="宋体" w:cs="宋体" w:eastAsia="宋体" w:hint="default"/>
                <w:sz w:val="18"/>
                <w:szCs w:val="18"/>
              </w:rPr>
            </w:pPr>
            <w:r>
              <w:rPr>
                <w:rFonts w:ascii="宋体"/>
                <w:sz w:val="18"/>
              </w:rPr>
              <w:t>138,074,832</w:t>
            </w:r>
          </w:p>
        </w:tc>
      </w:tr>
      <w:tr>
        <w:trPr>
          <w:trHeight w:val="305"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深圳通泰达投资中心(有限合伙)</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0" w:right="0"/>
              <w:jc w:val="left"/>
              <w:rPr>
                <w:rFonts w:ascii="宋体" w:hAnsi="宋体" w:cs="宋体" w:eastAsia="宋体" w:hint="default"/>
                <w:sz w:val="18"/>
                <w:szCs w:val="18"/>
              </w:rPr>
            </w:pPr>
            <w:r>
              <w:rPr>
                <w:rFonts w:ascii="宋体"/>
                <w:sz w:val="18"/>
              </w:rPr>
              <w:t>70,000,000</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5" w:right="0"/>
              <w:jc w:val="left"/>
              <w:rPr>
                <w:rFonts w:ascii="宋体" w:hAnsi="宋体" w:cs="宋体" w:eastAsia="宋体" w:hint="default"/>
                <w:sz w:val="18"/>
                <w:szCs w:val="18"/>
              </w:rPr>
            </w:pPr>
            <w:r>
              <w:rPr>
                <w:rFonts w:ascii="宋体"/>
                <w:sz w:val="18"/>
              </w:rPr>
              <w:t>70,000,000</w:t>
            </w:r>
          </w:p>
        </w:tc>
      </w:tr>
      <w:tr>
        <w:trPr>
          <w:trHeight w:val="305"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上海峰幽投资管理中心(普通合伙)</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0" w:right="0"/>
              <w:jc w:val="left"/>
              <w:rPr>
                <w:rFonts w:ascii="宋体" w:hAnsi="宋体" w:cs="宋体" w:eastAsia="宋体" w:hint="default"/>
                <w:sz w:val="18"/>
                <w:szCs w:val="18"/>
              </w:rPr>
            </w:pPr>
            <w:r>
              <w:rPr>
                <w:rFonts w:ascii="宋体"/>
                <w:sz w:val="18"/>
              </w:rPr>
              <w:t>26,445,783</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5" w:right="0"/>
              <w:jc w:val="left"/>
              <w:rPr>
                <w:rFonts w:ascii="宋体" w:hAnsi="宋体" w:cs="宋体" w:eastAsia="宋体" w:hint="default"/>
                <w:sz w:val="18"/>
                <w:szCs w:val="18"/>
              </w:rPr>
            </w:pPr>
            <w:r>
              <w:rPr>
                <w:rFonts w:ascii="宋体"/>
                <w:sz w:val="18"/>
              </w:rPr>
              <w:t>26,445,783</w:t>
            </w:r>
          </w:p>
        </w:tc>
      </w:tr>
      <w:tr>
        <w:trPr>
          <w:trHeight w:val="305"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深圳茂业百货有限公司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0" w:right="0"/>
              <w:jc w:val="left"/>
              <w:rPr>
                <w:rFonts w:ascii="宋体" w:hAnsi="宋体" w:cs="宋体" w:eastAsia="宋体" w:hint="default"/>
                <w:sz w:val="18"/>
                <w:szCs w:val="18"/>
              </w:rPr>
            </w:pPr>
            <w:r>
              <w:rPr>
                <w:rFonts w:ascii="宋体"/>
                <w:sz w:val="18"/>
              </w:rPr>
              <w:t>12,436,095</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5" w:right="0"/>
              <w:jc w:val="left"/>
              <w:rPr>
                <w:rFonts w:ascii="宋体" w:hAnsi="宋体" w:cs="宋体" w:eastAsia="宋体" w:hint="default"/>
                <w:sz w:val="18"/>
                <w:szCs w:val="18"/>
              </w:rPr>
            </w:pPr>
            <w:r>
              <w:rPr>
                <w:rFonts w:ascii="宋体"/>
                <w:sz w:val="18"/>
              </w:rPr>
              <w:t>12,436,095</w:t>
            </w:r>
          </w:p>
        </w:tc>
      </w:tr>
      <w:tr>
        <w:trPr>
          <w:trHeight w:val="307"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1"/>
                <w:sz w:val="18"/>
                <w:szCs w:val="18"/>
              </w:rPr>
              <w:t> </w:t>
            </w:r>
            <w:r>
              <w:rPr>
                <w:rFonts w:ascii="宋体" w:hAnsi="宋体" w:cs="宋体" w:eastAsia="宋体" w:hint="default"/>
                <w:sz w:val="18"/>
                <w:szCs w:val="18"/>
              </w:rPr>
              <w:t>秦皇岛市国有资产经营控股有限公司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0" w:right="0"/>
              <w:jc w:val="left"/>
              <w:rPr>
                <w:rFonts w:ascii="宋体" w:hAnsi="宋体" w:cs="宋体" w:eastAsia="宋体" w:hint="default"/>
                <w:sz w:val="18"/>
                <w:szCs w:val="18"/>
              </w:rPr>
            </w:pPr>
            <w:r>
              <w:rPr>
                <w:rFonts w:ascii="宋体"/>
                <w:sz w:val="18"/>
              </w:rPr>
              <w:t>11,742,341</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5" w:right="0"/>
              <w:jc w:val="left"/>
              <w:rPr>
                <w:rFonts w:ascii="宋体" w:hAnsi="宋体" w:cs="宋体" w:eastAsia="宋体" w:hint="default"/>
                <w:sz w:val="18"/>
                <w:szCs w:val="18"/>
              </w:rPr>
            </w:pPr>
            <w:r>
              <w:rPr>
                <w:rFonts w:ascii="宋体"/>
                <w:sz w:val="18"/>
              </w:rPr>
              <w:t>11,742,341</w:t>
            </w:r>
          </w:p>
        </w:tc>
      </w:tr>
      <w:tr>
        <w:trPr>
          <w:trHeight w:val="538"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98"/>
              <w:jc w:val="left"/>
              <w:rPr>
                <w:rFonts w:ascii="宋体" w:hAnsi="宋体" w:cs="宋体" w:eastAsia="宋体" w:hint="default"/>
                <w:sz w:val="18"/>
                <w:szCs w:val="18"/>
              </w:rPr>
            </w:pPr>
            <w:r>
              <w:rPr>
                <w:rFonts w:ascii="宋体" w:hAnsi="宋体" w:cs="宋体" w:eastAsia="宋体" w:hint="default"/>
                <w:sz w:val="18"/>
                <w:szCs w:val="18"/>
              </w:rPr>
              <w:t>7 长安国际信托股份有限公司-长安信托-长安投资 624</w:t>
            </w:r>
            <w:r>
              <w:rPr>
                <w:rFonts w:ascii="宋体" w:hAnsi="宋体" w:cs="宋体" w:eastAsia="宋体" w:hint="default"/>
                <w:spacing w:val="11"/>
                <w:sz w:val="18"/>
                <w:szCs w:val="18"/>
              </w:rPr>
              <w:t> </w:t>
            </w:r>
            <w:r>
              <w:rPr>
                <w:rFonts w:ascii="宋体" w:hAnsi="宋体" w:cs="宋体" w:eastAsia="宋体" w:hint="default"/>
                <w:sz w:val="18"/>
                <w:szCs w:val="18"/>
              </w:rPr>
              <w:t>号</w:t>
            </w:r>
            <w:r>
              <w:rPr>
                <w:rFonts w:ascii="宋体" w:hAnsi="宋体" w:cs="宋体" w:eastAsia="宋体" w:hint="default"/>
                <w:sz w:val="18"/>
                <w:szCs w:val="18"/>
              </w:rPr>
              <w:t> 证券投资集合资金信托计划</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19" w:right="0"/>
              <w:jc w:val="left"/>
              <w:rPr>
                <w:rFonts w:ascii="宋体" w:hAnsi="宋体" w:cs="宋体" w:eastAsia="宋体" w:hint="default"/>
                <w:sz w:val="18"/>
                <w:szCs w:val="18"/>
              </w:rPr>
            </w:pPr>
            <w:r>
              <w:rPr>
                <w:rFonts w:ascii="宋体"/>
                <w:sz w:val="18"/>
              </w:rPr>
              <w:t>9,315,728</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94" w:right="0"/>
              <w:jc w:val="left"/>
              <w:rPr>
                <w:rFonts w:ascii="宋体" w:hAnsi="宋体" w:cs="宋体" w:eastAsia="宋体" w:hint="default"/>
                <w:sz w:val="18"/>
                <w:szCs w:val="18"/>
              </w:rPr>
            </w:pPr>
            <w:r>
              <w:rPr>
                <w:rFonts w:ascii="宋体"/>
                <w:sz w:val="18"/>
              </w:rPr>
              <w:t>9,315,728</w:t>
            </w:r>
          </w:p>
        </w:tc>
      </w:tr>
      <w:tr>
        <w:trPr>
          <w:trHeight w:val="540"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98"/>
              <w:jc w:val="left"/>
              <w:rPr>
                <w:rFonts w:ascii="宋体" w:hAnsi="宋体" w:cs="宋体" w:eastAsia="宋体" w:hint="default"/>
                <w:sz w:val="18"/>
                <w:szCs w:val="18"/>
              </w:rPr>
            </w:pPr>
            <w:r>
              <w:rPr>
                <w:rFonts w:ascii="宋体" w:hAnsi="宋体" w:cs="宋体" w:eastAsia="宋体" w:hint="default"/>
                <w:sz w:val="18"/>
                <w:szCs w:val="18"/>
              </w:rPr>
              <w:t>8 长安国际信托股份有限公司-长安信托-长安投资 832</w:t>
            </w:r>
            <w:r>
              <w:rPr>
                <w:rFonts w:ascii="宋体" w:hAnsi="宋体" w:cs="宋体" w:eastAsia="宋体" w:hint="default"/>
                <w:spacing w:val="11"/>
                <w:sz w:val="18"/>
                <w:szCs w:val="18"/>
              </w:rPr>
              <w:t> </w:t>
            </w:r>
            <w:r>
              <w:rPr>
                <w:rFonts w:ascii="宋体" w:hAnsi="宋体" w:cs="宋体" w:eastAsia="宋体" w:hint="default"/>
                <w:sz w:val="18"/>
                <w:szCs w:val="18"/>
              </w:rPr>
              <w:t>号</w:t>
            </w:r>
            <w:r>
              <w:rPr>
                <w:rFonts w:ascii="宋体" w:hAnsi="宋体" w:cs="宋体" w:eastAsia="宋体" w:hint="default"/>
                <w:sz w:val="18"/>
                <w:szCs w:val="18"/>
              </w:rPr>
              <w:t> 证券投资集合资金信托计划</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19" w:right="0"/>
              <w:jc w:val="left"/>
              <w:rPr>
                <w:rFonts w:ascii="宋体" w:hAnsi="宋体" w:cs="宋体" w:eastAsia="宋体" w:hint="default"/>
                <w:sz w:val="18"/>
                <w:szCs w:val="18"/>
              </w:rPr>
            </w:pPr>
            <w:r>
              <w:rPr>
                <w:rFonts w:ascii="宋体"/>
                <w:sz w:val="18"/>
              </w:rPr>
              <w:t>8,943,527</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94" w:right="0"/>
              <w:jc w:val="left"/>
              <w:rPr>
                <w:rFonts w:ascii="宋体" w:hAnsi="宋体" w:cs="宋体" w:eastAsia="宋体" w:hint="default"/>
                <w:sz w:val="18"/>
                <w:szCs w:val="18"/>
              </w:rPr>
            </w:pPr>
            <w:r>
              <w:rPr>
                <w:rFonts w:ascii="宋体"/>
                <w:sz w:val="18"/>
              </w:rPr>
              <w:t>8,943,527</w:t>
            </w:r>
          </w:p>
        </w:tc>
      </w:tr>
      <w:tr>
        <w:trPr>
          <w:trHeight w:val="305"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2"/>
                <w:sz w:val="18"/>
                <w:szCs w:val="18"/>
              </w:rPr>
              <w:t> </w:t>
            </w:r>
            <w:r>
              <w:rPr>
                <w:rFonts w:ascii="宋体" w:hAnsi="宋体" w:cs="宋体" w:eastAsia="宋体" w:hint="default"/>
                <w:sz w:val="18"/>
                <w:szCs w:val="18"/>
              </w:rPr>
              <w:t>朱胜华</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19" w:right="0"/>
              <w:jc w:val="left"/>
              <w:rPr>
                <w:rFonts w:ascii="宋体" w:hAnsi="宋体" w:cs="宋体" w:eastAsia="宋体" w:hint="default"/>
                <w:sz w:val="18"/>
                <w:szCs w:val="18"/>
              </w:rPr>
            </w:pPr>
            <w:r>
              <w:rPr>
                <w:rFonts w:ascii="宋体"/>
                <w:sz w:val="18"/>
              </w:rPr>
              <w:t>4,679,100</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4" w:right="0"/>
              <w:jc w:val="left"/>
              <w:rPr>
                <w:rFonts w:ascii="宋体" w:hAnsi="宋体" w:cs="宋体" w:eastAsia="宋体" w:hint="default"/>
                <w:sz w:val="18"/>
                <w:szCs w:val="18"/>
              </w:rPr>
            </w:pPr>
            <w:r>
              <w:rPr>
                <w:rFonts w:ascii="宋体"/>
                <w:sz w:val="18"/>
              </w:rPr>
              <w:t>4,679,100</w:t>
            </w:r>
          </w:p>
        </w:tc>
      </w:tr>
      <w:tr>
        <w:trPr>
          <w:trHeight w:val="305" w:hRule="exact"/>
        </w:trPr>
        <w:tc>
          <w:tcPr>
            <w:tcW w:w="4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渤海国际信托股份有限公司[景尚精选]单一资金信托</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19" w:right="0"/>
              <w:jc w:val="left"/>
              <w:rPr>
                <w:rFonts w:ascii="宋体" w:hAnsi="宋体" w:cs="宋体" w:eastAsia="宋体" w:hint="default"/>
                <w:sz w:val="18"/>
                <w:szCs w:val="18"/>
              </w:rPr>
            </w:pPr>
            <w:r>
              <w:rPr>
                <w:rFonts w:ascii="宋体"/>
                <w:sz w:val="18"/>
              </w:rPr>
              <w:t>3,874,965</w:t>
            </w:r>
          </w:p>
        </w:tc>
        <w:tc>
          <w:tcPr>
            <w:tcW w:w="1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94" w:right="0"/>
              <w:jc w:val="left"/>
              <w:rPr>
                <w:rFonts w:ascii="宋体" w:hAnsi="宋体" w:cs="宋体" w:eastAsia="宋体" w:hint="default"/>
                <w:sz w:val="18"/>
                <w:szCs w:val="18"/>
              </w:rPr>
            </w:pPr>
            <w:r>
              <w:rPr>
                <w:rFonts w:ascii="宋体"/>
                <w:sz w:val="18"/>
              </w:rPr>
              <w:t>3,874,965</w:t>
            </w:r>
          </w:p>
        </w:tc>
      </w:tr>
    </w:tbl>
    <w:p>
      <w:pPr>
        <w:spacing w:after="0" w:line="240" w:lineRule="auto"/>
        <w:jc w:val="left"/>
        <w:rPr>
          <w:rFonts w:ascii="宋体" w:hAnsi="宋体" w:cs="宋体" w:eastAsia="宋体" w:hint="default"/>
          <w:sz w:val="18"/>
          <w:szCs w:val="18"/>
        </w:rPr>
        <w:sectPr>
          <w:pgSz w:w="11910" w:h="16840"/>
          <w:pgMar w:header="884" w:footer="1000" w:top="1140" w:bottom="1200" w:left="1080" w:right="960"/>
        </w:sectPr>
      </w:pPr>
    </w:p>
    <w:p>
      <w:pPr>
        <w:spacing w:line="240" w:lineRule="auto" w:before="8"/>
        <w:rPr>
          <w:rFonts w:ascii="宋体" w:hAnsi="宋体" w:cs="宋体" w:eastAsia="宋体" w:hint="default"/>
          <w:sz w:val="10"/>
          <w:szCs w:val="10"/>
        </w:rPr>
      </w:pPr>
    </w:p>
    <w:p>
      <w:pPr>
        <w:spacing w:line="1027" w:lineRule="exact"/>
        <w:ind w:left="105"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82.4pt;height:51.4pt;mso-position-horizontal-relative:char;mso-position-vertical-relative:line" coordorigin="0,0" coordsize="9648,1028">
            <v:group style="position:absolute;left:10;top:10;width:3108;height:2" coordorigin="10,10" coordsize="3108,2">
              <v:shape style="position:absolute;left:10;top:10;width:3108;height:2" coordorigin="10,10" coordsize="3108,0" path="m10,10l3118,10e" filled="false" stroked="true" strokeweight=".48pt" strokecolor="#000000">
                <v:path arrowok="t"/>
              </v:shape>
            </v:group>
            <v:group style="position:absolute;left:3127;top:10;width:6512;height:2" coordorigin="3127,10" coordsize="6512,2">
              <v:shape style="position:absolute;left:3127;top:10;width:6512;height:2" coordorigin="3127,10" coordsize="6512,0" path="m3127,10l9638,10e" filled="false" stroked="true" strokeweight=".48pt" strokecolor="#000000">
                <v:path arrowok="t"/>
              </v:shape>
            </v:group>
            <v:group style="position:absolute;left:5;top:5;width:2;height:1018" coordorigin="5,5" coordsize="2,1018">
              <v:shape style="position:absolute;left:5;top:5;width:2;height:1018" coordorigin="5,5" coordsize="0,1018" path="m5,5l5,1022e" filled="false" stroked="true" strokeweight=".48pt" strokecolor="#000000">
                <v:path arrowok="t"/>
              </v:shape>
            </v:group>
            <v:group style="position:absolute;left:10;top:1018;width:3108;height:2" coordorigin="10,1018" coordsize="3108,2">
              <v:shape style="position:absolute;left:10;top:1018;width:3108;height:2" coordorigin="10,1018" coordsize="3108,0" path="m10,1018l3118,1018e" filled="false" stroked="true" strokeweight=".48pt" strokecolor="#000000">
                <v:path arrowok="t"/>
              </v:shape>
            </v:group>
            <v:group style="position:absolute;left:3122;top:5;width:2;height:1018" coordorigin="3122,5" coordsize="2,1018">
              <v:shape style="position:absolute;left:3122;top:5;width:2;height:1018" coordorigin="3122,5" coordsize="0,1018" path="m3122,5l3122,1022e" filled="false" stroked="true" strokeweight=".48pt" strokecolor="#000000">
                <v:path arrowok="t"/>
              </v:shape>
            </v:group>
            <v:group style="position:absolute;left:3127;top:1018;width:6512;height:2" coordorigin="3127,1018" coordsize="6512,2">
              <v:shape style="position:absolute;left:3127;top:1018;width:6512;height:2" coordorigin="3127,1018" coordsize="6512,0" path="m3127,1018l9638,1018e" filled="false" stroked="true" strokeweight=".48pt" strokecolor="#000000">
                <v:path arrowok="t"/>
              </v:shape>
            </v:group>
            <v:group style="position:absolute;left:9643;top:5;width:2;height:1018" coordorigin="9643,5" coordsize="2,1018">
              <v:shape style="position:absolute;left:9643;top:5;width:2;height:1018" coordorigin="9643,5" coordsize="0,1018" path="m9643,5l9643,1022e" filled="false" stroked="true" strokeweight=".48pt" strokecolor="#000000">
                <v:path arrowok="t"/>
              </v:shape>
              <v:shape style="position:absolute;left:5;top:10;width:3118;height:1008" type="#_x0000_t202" filled="false" stroked="false">
                <v:textbox inset="0,0,0,0">
                  <w:txbxContent>
                    <w:p>
                      <w:pPr>
                        <w:spacing w:line="234" w:lineRule="exact" w:before="123"/>
                        <w:ind w:left="107" w:right="0"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37"/>
                          <w:sz w:val="18"/>
                          <w:szCs w:val="18"/>
                        </w:rPr>
                        <w:t> </w:t>
                      </w:r>
                      <w:r>
                        <w:rPr>
                          <w:rFonts w:ascii="宋体" w:hAnsi="宋体" w:cs="宋体" w:eastAsia="宋体" w:hint="default"/>
                          <w:spacing w:val="-6"/>
                          <w:sz w:val="18"/>
                          <w:szCs w:val="18"/>
                        </w:rPr>
                        <w:t>名无限售流通股股东之间，以及</w:t>
                      </w:r>
                    </w:p>
                    <w:p>
                      <w:pPr>
                        <w:spacing w:before="0"/>
                        <w:ind w:left="107" w:right="103"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z w:val="18"/>
                          <w:szCs w:val="18"/>
                        </w:rPr>
                        <w:t>名</w:t>
                      </w:r>
                      <w:r>
                        <w:rPr>
                          <w:rFonts w:ascii="宋体" w:hAnsi="宋体" w:cs="宋体" w:eastAsia="宋体" w:hint="default"/>
                          <w:sz w:val="18"/>
                          <w:szCs w:val="18"/>
                        </w:rPr>
                        <w:t> 股东之间关联关系或一致行动的说明</w:t>
                      </w:r>
                    </w:p>
                  </w:txbxContent>
                </v:textbox>
                <w10:wrap type="none"/>
              </v:shape>
              <v:shape style="position:absolute;left:3122;top:10;width:6521;height:1008" type="#_x0000_t202" filled="false" stroked="false">
                <v:textbox inset="0,0,0,0">
                  <w:txbxContent>
                    <w:p>
                      <w:pPr>
                        <w:spacing w:line="237" w:lineRule="auto" w:before="8"/>
                        <w:ind w:left="108" w:right="100" w:firstLine="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pacing w:val="-6"/>
                          <w:sz w:val="18"/>
                          <w:szCs w:val="18"/>
                        </w:rPr>
                        <w:t>名无限售流通股股东之间，以及前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w:t>
                      </w:r>
                      <w:r>
                        <w:rPr>
                          <w:rFonts w:ascii="宋体" w:hAnsi="宋体" w:cs="宋体" w:eastAsia="宋体" w:hint="default"/>
                          <w:sz w:val="18"/>
                          <w:szCs w:val="18"/>
                        </w:rPr>
                        <w:t> 间有中兆投资与深圳茂业百货有限公司存在关联关系，鹰溪谷和峰幽投资是一致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行动人；未发现其他前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w:t>
                      </w:r>
                    </w:p>
                    <w:p>
                      <w:pPr>
                        <w:spacing w:line="233" w:lineRule="exact" w:before="0"/>
                        <w:ind w:left="108" w:right="0" w:firstLine="0"/>
                        <w:jc w:val="both"/>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名股东之间存在关联关系或一致行动。</w:t>
                      </w:r>
                    </w:p>
                  </w:txbxContent>
                </v:textbox>
                <w10:wrap type="none"/>
              </v:shape>
            </v:group>
          </v:group>
        </w:pict>
      </w:r>
      <w:r>
        <w:rPr>
          <w:rFonts w:ascii="宋体" w:hAnsi="宋体" w:cs="宋体" w:eastAsia="宋体" w:hint="default"/>
          <w:position w:val="-20"/>
          <w:sz w:val="20"/>
          <w:szCs w:val="20"/>
        </w:rPr>
      </w:r>
    </w:p>
    <w:p>
      <w:pPr>
        <w:spacing w:line="240" w:lineRule="auto" w:before="11"/>
        <w:rPr>
          <w:rFonts w:ascii="宋体" w:hAnsi="宋体" w:cs="宋体" w:eastAsia="宋体" w:hint="default"/>
          <w:sz w:val="7"/>
          <w:szCs w:val="7"/>
        </w:rPr>
      </w:pPr>
    </w:p>
    <w:p>
      <w:pPr>
        <w:pStyle w:val="BodyText"/>
        <w:spacing w:line="240" w:lineRule="auto" w:before="36"/>
        <w:ind w:left="813" w:right="342"/>
        <w:jc w:val="left"/>
      </w:pPr>
      <w:r>
        <w:rPr/>
        <w:t>公司前</w:t>
      </w:r>
      <w:r>
        <w:rPr>
          <w:spacing w:val="-54"/>
        </w:rPr>
        <w:t> </w:t>
      </w:r>
      <w:r>
        <w:rPr/>
        <w:t>10</w:t>
      </w:r>
      <w:r>
        <w:rPr>
          <w:spacing w:val="-56"/>
        </w:rPr>
        <w:t> </w:t>
      </w:r>
      <w:r>
        <w:rPr/>
        <w:t>名普通股股东、前</w:t>
      </w:r>
      <w:r>
        <w:rPr>
          <w:spacing w:val="-54"/>
        </w:rPr>
        <w:t> </w:t>
      </w:r>
      <w:r>
        <w:rPr/>
        <w:t>10</w:t>
      </w:r>
      <w:r>
        <w:rPr>
          <w:spacing w:val="-56"/>
        </w:rPr>
        <w:t> </w:t>
      </w:r>
      <w:r>
        <w:rPr/>
        <w:t>名无限售条件普通股股东在报告期内是否进行约定购回交易</w:t>
      </w:r>
    </w:p>
    <w:p>
      <w:pPr>
        <w:pStyle w:val="BodyText"/>
        <w:tabs>
          <w:tab w:pos="1550" w:val="left" w:leader="none"/>
        </w:tabs>
        <w:spacing w:line="273" w:lineRule="auto" w:before="37"/>
        <w:ind w:left="393" w:right="454" w:firstLine="420"/>
        <w:jc w:val="left"/>
      </w:pPr>
      <w:r>
        <w:rPr/>
        <w:t>□</w:t>
      </w:r>
      <w:r>
        <w:rPr>
          <w:spacing w:val="2"/>
        </w:rPr>
        <w:t> </w:t>
      </w:r>
      <w:r>
        <w:rPr/>
        <w:t>是</w:t>
        <w:tab/>
        <w:t>√</w:t>
      </w:r>
      <w:r>
        <w:rPr>
          <w:spacing w:val="-3"/>
        </w:rPr>
        <w:t> </w:t>
      </w:r>
      <w:r>
        <w:rPr/>
        <w:t>否(公司前</w:t>
      </w:r>
      <w:r>
        <w:rPr>
          <w:spacing w:val="-32"/>
        </w:rPr>
        <w:t> </w:t>
      </w:r>
      <w:r>
        <w:rPr/>
        <w:t>10</w:t>
      </w:r>
      <w:r>
        <w:rPr>
          <w:spacing w:val="-34"/>
        </w:rPr>
        <w:t> </w:t>
      </w:r>
      <w:r>
        <w:rPr/>
        <w:t>名普通股股东、前</w:t>
      </w:r>
      <w:r>
        <w:rPr>
          <w:spacing w:val="-32"/>
        </w:rPr>
        <w:t> </w:t>
      </w:r>
      <w:r>
        <w:rPr/>
        <w:t>10</w:t>
      </w:r>
      <w:r>
        <w:rPr>
          <w:spacing w:val="-34"/>
        </w:rPr>
        <w:t> </w:t>
      </w:r>
      <w:r>
        <w:rPr/>
        <w:t>名无限售条件普通股股东在报告期内未进行约</w:t>
      </w:r>
      <w:r>
        <w:rPr>
          <w:w w:val="100"/>
        </w:rPr>
        <w:t> </w:t>
      </w:r>
      <w:r>
        <w:rPr/>
        <w:t>定购回交易。)</w:t>
      </w:r>
    </w:p>
    <w:p>
      <w:pPr>
        <w:spacing w:line="240" w:lineRule="auto" w:before="6"/>
        <w:rPr>
          <w:rFonts w:ascii="宋体" w:hAnsi="宋体" w:cs="宋体" w:eastAsia="宋体" w:hint="default"/>
          <w:sz w:val="24"/>
          <w:szCs w:val="24"/>
        </w:rPr>
      </w:pPr>
    </w:p>
    <w:p>
      <w:pPr>
        <w:pStyle w:val="BodyText"/>
        <w:spacing w:line="273" w:lineRule="auto" w:before="0"/>
        <w:ind w:left="813" w:right="342"/>
        <w:jc w:val="left"/>
      </w:pPr>
      <w:r>
        <w:rPr/>
        <w:t>二、公司控股股东情况</w:t>
      </w:r>
      <w:r>
        <w:rPr>
          <w:w w:val="100"/>
        </w:rPr>
        <w:t> </w:t>
      </w:r>
      <w:r>
        <w:rPr>
          <w:spacing w:val="-2"/>
        </w:rPr>
        <w:t>因报告期原控股股东中兆投资向通泰达协议转让股份完毕，报告期公司控股股东、实际控制人</w:t>
      </w:r>
    </w:p>
    <w:p>
      <w:pPr>
        <w:pStyle w:val="BodyText"/>
        <w:spacing w:line="273" w:lineRule="auto" w:before="8"/>
        <w:ind w:left="813" w:right="3143" w:hanging="421"/>
        <w:jc w:val="left"/>
      </w:pPr>
      <w:r>
        <w:rPr>
          <w:spacing w:val="-2"/>
        </w:rPr>
        <w:t>发生变化，本公司已没有控股股东、实际控制人。</w:t>
      </w:r>
      <w:r>
        <w:rPr>
          <w:spacing w:val="-62"/>
        </w:rPr>
        <w:t> </w:t>
      </w:r>
      <w:r>
        <w:rPr>
          <w:spacing w:val="-62"/>
        </w:rPr>
      </w:r>
      <w:r>
        <w:rPr/>
        <w:t>1、控股股东变化情况</w:t>
      </w:r>
    </w:p>
    <w:p>
      <w:pPr>
        <w:pStyle w:val="BodyText"/>
        <w:spacing w:line="240" w:lineRule="auto"/>
        <w:ind w:left="813" w:right="342"/>
        <w:jc w:val="left"/>
      </w:pPr>
      <w:r>
        <w:rPr>
          <w:w w:val="100"/>
        </w:rPr>
        <w:t>2017</w:t>
      </w:r>
      <w:r>
        <w:rPr>
          <w:spacing w:val="-48"/>
        </w:rPr>
        <w:t> </w:t>
      </w:r>
      <w:r>
        <w:rPr>
          <w:w w:val="100"/>
        </w:rPr>
        <w:t>年</w:t>
      </w:r>
      <w:r>
        <w:rPr>
          <w:spacing w:val="-45"/>
        </w:rPr>
        <w:t> </w:t>
      </w:r>
      <w:r>
        <w:rPr>
          <w:w w:val="100"/>
        </w:rPr>
        <w:t>1</w:t>
      </w:r>
      <w:r>
        <w:rPr>
          <w:spacing w:val="-48"/>
        </w:rPr>
        <w:t> </w:t>
      </w:r>
      <w:r>
        <w:rPr>
          <w:w w:val="100"/>
        </w:rPr>
        <w:t>月</w:t>
      </w:r>
      <w:r>
        <w:rPr>
          <w:spacing w:val="-45"/>
        </w:rPr>
        <w:t> </w:t>
      </w:r>
      <w:r>
        <w:rPr>
          <w:w w:val="100"/>
        </w:rPr>
        <w:t>9</w:t>
      </w:r>
      <w:r>
        <w:rPr>
          <w:spacing w:val="-45"/>
        </w:rPr>
        <w:t> </w:t>
      </w:r>
      <w:r>
        <w:rPr>
          <w:spacing w:val="-3"/>
          <w:w w:val="100"/>
        </w:rPr>
        <w:t>日</w:t>
      </w:r>
      <w:r>
        <w:rPr>
          <w:w w:val="100"/>
        </w:rPr>
        <w:t>，</w:t>
      </w:r>
      <w:r>
        <w:rPr>
          <w:spacing w:val="-3"/>
          <w:w w:val="100"/>
        </w:rPr>
        <w:t>公</w:t>
      </w:r>
      <w:r>
        <w:rPr>
          <w:w w:val="100"/>
        </w:rPr>
        <w:t>司</w:t>
      </w:r>
      <w:r>
        <w:rPr>
          <w:spacing w:val="-3"/>
          <w:w w:val="100"/>
        </w:rPr>
        <w:t>原</w:t>
      </w:r>
      <w:r>
        <w:rPr>
          <w:w w:val="100"/>
        </w:rPr>
        <w:t>控股</w:t>
      </w:r>
      <w:r>
        <w:rPr>
          <w:spacing w:val="-3"/>
          <w:w w:val="100"/>
        </w:rPr>
        <w:t>股</w:t>
      </w:r>
      <w:r>
        <w:rPr>
          <w:w w:val="100"/>
        </w:rPr>
        <w:t>东</w:t>
      </w:r>
      <w:r>
        <w:rPr>
          <w:spacing w:val="-3"/>
          <w:w w:val="100"/>
        </w:rPr>
        <w:t>中</w:t>
      </w:r>
      <w:r>
        <w:rPr>
          <w:w w:val="100"/>
        </w:rPr>
        <w:t>兆</w:t>
      </w:r>
      <w:r>
        <w:rPr>
          <w:spacing w:val="-3"/>
          <w:w w:val="100"/>
        </w:rPr>
        <w:t>投</w:t>
      </w:r>
      <w:r>
        <w:rPr>
          <w:w w:val="100"/>
        </w:rPr>
        <w:t>资</w:t>
      </w:r>
      <w:r>
        <w:rPr>
          <w:spacing w:val="-3"/>
          <w:w w:val="100"/>
        </w:rPr>
        <w:t>与</w:t>
      </w:r>
      <w:r>
        <w:rPr>
          <w:w w:val="100"/>
        </w:rPr>
        <w:t>第</w:t>
      </w:r>
      <w:r>
        <w:rPr>
          <w:spacing w:val="-3"/>
          <w:w w:val="100"/>
        </w:rPr>
        <w:t>三</w:t>
      </w:r>
      <w:r>
        <w:rPr>
          <w:w w:val="100"/>
        </w:rPr>
        <w:t>方通</w:t>
      </w:r>
      <w:r>
        <w:rPr>
          <w:spacing w:val="-3"/>
          <w:w w:val="100"/>
        </w:rPr>
        <w:t>泰</w:t>
      </w:r>
      <w:r>
        <w:rPr>
          <w:w w:val="100"/>
        </w:rPr>
        <w:t>达</w:t>
      </w:r>
      <w:r>
        <w:rPr>
          <w:spacing w:val="-3"/>
          <w:w w:val="100"/>
        </w:rPr>
        <w:t>签</w:t>
      </w:r>
      <w:r>
        <w:rPr>
          <w:w w:val="100"/>
        </w:rPr>
        <w:t>署</w:t>
      </w:r>
      <w:r>
        <w:rPr>
          <w:spacing w:val="-3"/>
          <w:w w:val="100"/>
        </w:rPr>
        <w:t>《</w:t>
      </w:r>
      <w:r>
        <w:rPr>
          <w:w w:val="100"/>
        </w:rPr>
        <w:t>股</w:t>
      </w:r>
      <w:r>
        <w:rPr>
          <w:spacing w:val="-3"/>
          <w:w w:val="100"/>
        </w:rPr>
        <w:t>份</w:t>
      </w:r>
      <w:r>
        <w:rPr>
          <w:w w:val="100"/>
        </w:rPr>
        <w:t>转</w:t>
      </w:r>
      <w:r>
        <w:rPr>
          <w:spacing w:val="-3"/>
          <w:w w:val="100"/>
        </w:rPr>
        <w:t>让</w:t>
      </w:r>
      <w:r>
        <w:rPr>
          <w:w w:val="100"/>
        </w:rPr>
        <w:t>协议</w:t>
      </w:r>
      <w:r>
        <w:rPr>
          <w:spacing w:val="-108"/>
          <w:w w:val="100"/>
        </w:rPr>
        <w:t>》</w:t>
      </w:r>
      <w:r>
        <w:rPr>
          <w:spacing w:val="-1"/>
          <w:w w:val="100"/>
        </w:rPr>
        <w:t>，</w:t>
      </w:r>
      <w:r>
        <w:rPr>
          <w:spacing w:val="-3"/>
          <w:w w:val="100"/>
        </w:rPr>
        <w:t>出</w:t>
      </w:r>
      <w:r>
        <w:rPr>
          <w:w w:val="100"/>
        </w:rPr>
        <w:t>让</w:t>
      </w:r>
      <w:r>
        <w:rPr>
          <w:spacing w:val="-3"/>
          <w:w w:val="100"/>
        </w:rPr>
        <w:t>方</w:t>
      </w:r>
      <w:r>
        <w:rPr>
          <w:w w:val="100"/>
        </w:rPr>
        <w:t>中</w:t>
      </w:r>
    </w:p>
    <w:p>
      <w:pPr>
        <w:pStyle w:val="BodyText"/>
        <w:spacing w:line="240" w:lineRule="auto" w:before="37"/>
        <w:ind w:left="393" w:right="0"/>
        <w:jc w:val="both"/>
      </w:pPr>
      <w:r>
        <w:rPr/>
        <w:t>兆投资将其持有的本公司无限售条件股份</w:t>
      </w:r>
      <w:r>
        <w:rPr>
          <w:spacing w:val="-44"/>
        </w:rPr>
        <w:t> </w:t>
      </w:r>
      <w:r>
        <w:rPr/>
        <w:t>7,000</w:t>
      </w:r>
      <w:r>
        <w:rPr>
          <w:spacing w:val="-44"/>
        </w:rPr>
        <w:t> </w:t>
      </w:r>
      <w:r>
        <w:rPr>
          <w:spacing w:val="-5"/>
        </w:rPr>
        <w:t>万股，协议转让给受让方通泰达，转让价格每股</w:t>
      </w:r>
      <w:r>
        <w:rPr>
          <w:spacing w:val="-44"/>
        </w:rPr>
        <w:t> </w:t>
      </w:r>
      <w:r>
        <w:rPr/>
        <w:t>20</w:t>
      </w:r>
    </w:p>
    <w:p>
      <w:pPr>
        <w:pStyle w:val="BodyText"/>
        <w:spacing w:line="240" w:lineRule="auto" w:before="37"/>
        <w:ind w:left="393" w:right="0"/>
        <w:jc w:val="both"/>
      </w:pPr>
      <w:r>
        <w:rPr/>
        <w:t>元，转让总价款为</w:t>
      </w:r>
      <w:r>
        <w:rPr>
          <w:spacing w:val="-48"/>
        </w:rPr>
        <w:t> </w:t>
      </w:r>
      <w:r>
        <w:rPr/>
        <w:t>140,000</w:t>
      </w:r>
      <w:r>
        <w:rPr>
          <w:spacing w:val="-48"/>
        </w:rPr>
        <w:t> </w:t>
      </w:r>
      <w:r>
        <w:rPr/>
        <w:t>万元。经过深交所合规性审核，2017</w:t>
      </w:r>
      <w:r>
        <w:rPr>
          <w:spacing w:val="-48"/>
        </w:rPr>
        <w:t> </w:t>
      </w:r>
      <w:r>
        <w:rPr/>
        <w:t>年</w:t>
      </w:r>
      <w:r>
        <w:rPr>
          <w:spacing w:val="-50"/>
        </w:rPr>
        <w:t> </w:t>
      </w:r>
      <w:r>
        <w:rPr/>
        <w:t>1</w:t>
      </w:r>
      <w:r>
        <w:rPr>
          <w:spacing w:val="-48"/>
        </w:rPr>
        <w:t> </w:t>
      </w:r>
      <w:r>
        <w:rPr/>
        <w:t>月</w:t>
      </w:r>
      <w:r>
        <w:rPr>
          <w:spacing w:val="-48"/>
        </w:rPr>
        <w:t> </w:t>
      </w:r>
      <w:r>
        <w:rPr/>
        <w:t>25</w:t>
      </w:r>
      <w:r>
        <w:rPr>
          <w:spacing w:val="-50"/>
        </w:rPr>
        <w:t> </w:t>
      </w:r>
      <w:r>
        <w:rPr/>
        <w:t>日中国证券登记结算有</w:t>
      </w:r>
    </w:p>
    <w:p>
      <w:pPr>
        <w:pStyle w:val="BodyText"/>
        <w:spacing w:line="273" w:lineRule="auto" w:before="37"/>
        <w:ind w:left="393" w:right="450"/>
        <w:jc w:val="both"/>
      </w:pPr>
      <w:r>
        <w:rPr>
          <w:spacing w:val="-5"/>
          <w:w w:val="100"/>
        </w:rPr>
        <w:t>限公司出具了《证券过户登记确认书》，中兆投资将所持本公司股份</w:t>
      </w:r>
      <w:r>
        <w:rPr>
          <w:w w:val="100"/>
        </w:rPr>
        <w:t> </w:t>
      </w:r>
      <w:r>
        <w:rPr>
          <w:spacing w:val="-1"/>
          <w:w w:val="100"/>
        </w:rPr>
        <w:t>7,000</w:t>
      </w:r>
      <w:r>
        <w:rPr>
          <w:spacing w:val="-7"/>
          <w:w w:val="100"/>
        </w:rPr>
        <w:t> </w:t>
      </w:r>
      <w:r>
        <w:rPr>
          <w:spacing w:val="-2"/>
          <w:w w:val="100"/>
        </w:rPr>
        <w:t>万股协议转让给通泰达</w:t>
      </w:r>
      <w:r>
        <w:rPr>
          <w:w w:val="100"/>
        </w:rPr>
        <w:t> </w:t>
      </w:r>
      <w:r>
        <w:rPr>
          <w:spacing w:val="-2"/>
        </w:rPr>
        <w:t>的过户工作完毕。本次股份协议转让完成后，公司控股股东、第一大股东已发生变更：中兆投资持</w:t>
      </w:r>
      <w:r>
        <w:rPr>
          <w:spacing w:val="-47"/>
        </w:rPr>
        <w:t> </w:t>
      </w:r>
      <w:r>
        <w:rPr>
          <w:spacing w:val="-47"/>
        </w:rPr>
      </w:r>
      <w:r>
        <w:rPr/>
        <w:t>股比例由</w:t>
      </w:r>
      <w:r>
        <w:rPr>
          <w:spacing w:val="-59"/>
        </w:rPr>
        <w:t> </w:t>
      </w:r>
      <w:r>
        <w:rPr/>
        <w:t>2016</w:t>
      </w:r>
      <w:r>
        <w:rPr>
          <w:spacing w:val="-61"/>
        </w:rPr>
        <w:t> </w:t>
      </w:r>
      <w:r>
        <w:rPr/>
        <w:t>年期末的</w:t>
      </w:r>
      <w:r>
        <w:rPr>
          <w:spacing w:val="-61"/>
        </w:rPr>
        <w:t> </w:t>
      </w:r>
      <w:r>
        <w:rPr/>
        <w:t>33.46%降至报告期(转让后)的</w:t>
      </w:r>
      <w:r>
        <w:rPr>
          <w:spacing w:val="-59"/>
        </w:rPr>
        <w:t> </w:t>
      </w:r>
      <w:r>
        <w:rPr/>
        <w:t>22.20%变为公司第二大股东，不再是第一大</w:t>
      </w:r>
      <w:r>
        <w:rPr>
          <w:w w:val="100"/>
        </w:rPr>
        <w:t> </w:t>
      </w:r>
      <w:r>
        <w:rPr>
          <w:spacing w:val="-4"/>
        </w:rPr>
        <w:t>股东、控股股东；鹰溪谷持股比例 </w:t>
      </w:r>
      <w:r>
        <w:rPr>
          <w:spacing w:val="-3"/>
        </w:rPr>
        <w:t>23.86%没有变动，被动成为公司第一大股东，通泰达持股比例由</w:t>
      </w:r>
      <w:r>
        <w:rPr>
          <w:spacing w:val="-86"/>
        </w:rPr>
        <w:t> </w:t>
      </w:r>
      <w:r>
        <w:rPr>
          <w:spacing w:val="-86"/>
        </w:rPr>
      </w:r>
      <w:r>
        <w:rPr/>
        <w:t>报告期初的零升至报告期(受让后)的</w:t>
      </w:r>
      <w:r>
        <w:rPr>
          <w:spacing w:val="-28"/>
        </w:rPr>
        <w:t> </w:t>
      </w:r>
      <w:r>
        <w:rPr>
          <w:spacing w:val="-4"/>
        </w:rPr>
        <w:t>11.26%，成为公司第三大股东。报告期上述股份转让完成后公</w:t>
      </w:r>
      <w:r>
        <w:rPr>
          <w:spacing w:val="-91"/>
        </w:rPr>
        <w:t> </w:t>
      </w:r>
      <w:r>
        <w:rPr>
          <w:spacing w:val="-91"/>
        </w:rPr>
      </w:r>
      <w:r>
        <w:rPr/>
        <w:t>司已无控股股东、实际控制人。有关控股股东变更临时报告查询索引见下表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18"/>
        <w:gridCol w:w="1699"/>
        <w:gridCol w:w="4963"/>
        <w:gridCol w:w="1558"/>
      </w:tblGrid>
      <w:tr>
        <w:trPr>
          <w:trHeight w:val="350"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公告名称(编号)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4"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关于公司股权协议转让事项提示性暨股票复牌公告(公告编号：2017-02)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2017-01-10</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关于公司股东持股变动情况提示性公告(公告编号：2017-03)</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sz w:val="18"/>
              </w:rPr>
              <w:t>2017-01-12</w:t>
            </w: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深圳通泰达投资中心(有限合伙)简式权益变动报告书(一)</w:t>
            </w:r>
          </w:p>
        </w:tc>
        <w:tc>
          <w:tcPr>
            <w:tcW w:w="1558" w:type="dxa"/>
            <w:vMerge/>
            <w:tcBorders>
              <w:left w:val="single" w:sz="4" w:space="0" w:color="000000"/>
              <w:right w:val="single" w:sz="4" w:space="0" w:color="000000"/>
            </w:tcBorders>
          </w:tcPr>
          <w:p>
            <w:pP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中兆投资管理有限公司简式权益变动报告书(二)</w:t>
            </w:r>
          </w:p>
        </w:tc>
        <w:tc>
          <w:tcPr>
            <w:tcW w:w="1558" w:type="dxa"/>
            <w:vMerge/>
            <w:tcBorders>
              <w:left w:val="single" w:sz="4" w:space="0" w:color="000000"/>
              <w:right w:val="single" w:sz="4" w:space="0" w:color="000000"/>
            </w:tcBorders>
          </w:tcPr>
          <w:p>
            <w:pP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孝昌鹰溪谷投资中心(有限合伙)详式权益变动报告书</w:t>
            </w:r>
          </w:p>
        </w:tc>
        <w:tc>
          <w:tcPr>
            <w:tcW w:w="1558" w:type="dxa"/>
            <w:vMerge/>
            <w:tcBorders>
              <w:left w:val="single" w:sz="4" w:space="0" w:color="000000"/>
              <w:bottom w:val="single" w:sz="4" w:space="0" w:color="000000"/>
              <w:right w:val="single" w:sz="4" w:space="0" w:color="000000"/>
            </w:tcBorders>
          </w:tcPr>
          <w:p>
            <w:pP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关于补充披露股份转让受让方权益变动报告书内容的公告(公告编号：2017-04)</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宋体"/>
                <w:sz w:val="18"/>
              </w:rPr>
              <w:t>2017-01-19</w:t>
            </w:r>
          </w:p>
        </w:tc>
      </w:tr>
      <w:tr>
        <w:trPr>
          <w:trHeight w:val="324"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深圳通泰达投资中心(有限合伙)</w:t>
            </w:r>
            <w:r>
              <w:rPr>
                <w:rFonts w:ascii="宋体" w:hAnsi="宋体" w:cs="宋体" w:eastAsia="宋体" w:hint="default"/>
                <w:spacing w:val="1"/>
                <w:sz w:val="18"/>
                <w:szCs w:val="18"/>
              </w:rPr>
              <w:t> </w:t>
            </w:r>
            <w:r>
              <w:rPr>
                <w:rFonts w:ascii="宋体" w:hAnsi="宋体" w:cs="宋体" w:eastAsia="宋体" w:hint="default"/>
                <w:sz w:val="18"/>
                <w:szCs w:val="18"/>
              </w:rPr>
              <w:t>简式权益变动报告书(修订稿)</w:t>
            </w:r>
          </w:p>
        </w:tc>
        <w:tc>
          <w:tcPr>
            <w:tcW w:w="1558" w:type="dxa"/>
            <w:vMerge/>
            <w:tcBorders>
              <w:left w:val="single" w:sz="4" w:space="0" w:color="000000"/>
              <w:bottom w:val="single" w:sz="4" w:space="0" w:color="000000"/>
              <w:right w:val="single" w:sz="4" w:space="0" w:color="000000"/>
            </w:tcBorders>
          </w:tcPr>
          <w:p>
            <w:pPr/>
          </w:p>
        </w:tc>
      </w:tr>
      <w:tr>
        <w:trPr>
          <w:trHeight w:val="322" w:hRule="exact"/>
        </w:trPr>
        <w:tc>
          <w:tcPr>
            <w:tcW w:w="1418" w:type="dxa"/>
            <w:vMerge/>
            <w:tcBorders>
              <w:left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关于公司股权协议转让完成过户的公告(公告编号：2017-08)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2017-01-25</w:t>
            </w:r>
          </w:p>
        </w:tc>
      </w:tr>
      <w:tr>
        <w:trPr>
          <w:trHeight w:val="322" w:hRule="exact"/>
        </w:trPr>
        <w:tc>
          <w:tcPr>
            <w:tcW w:w="1418" w:type="dxa"/>
            <w:vMerge/>
            <w:tcBorders>
              <w:left w:val="single" w:sz="4" w:space="0" w:color="000000"/>
              <w:bottom w:val="single" w:sz="4" w:space="0" w:color="000000"/>
              <w:right w:val="single" w:sz="4" w:space="0" w:color="000000"/>
            </w:tcBorders>
          </w:tcPr>
          <w:p>
            <w:pPr/>
          </w:p>
        </w:tc>
        <w:tc>
          <w:tcPr>
            <w:tcW w:w="6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关于股权协议转让价款支付暨事项完成的公告(公告编号：2017-09)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2017-01-26</w:t>
            </w: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2、没有控股股东情形说明</w:t>
      </w:r>
    </w:p>
    <w:p>
      <w:pPr>
        <w:pStyle w:val="BodyText"/>
        <w:spacing w:line="273" w:lineRule="auto" w:before="37"/>
        <w:ind w:left="393" w:right="345" w:firstLine="420"/>
        <w:jc w:val="left"/>
      </w:pPr>
      <w:r>
        <w:rPr/>
        <w:t>(1) </w:t>
      </w:r>
      <w:r>
        <w:rPr>
          <w:spacing w:val="-6"/>
        </w:rPr>
        <w:t>报告期内，鹰溪谷及其一致行动人峰幽投资、博升优势合计持有公司股份 </w:t>
      </w:r>
      <w:r>
        <w:rPr/>
        <w:t>176,305,222</w:t>
      </w:r>
      <w:r>
        <w:rPr>
          <w:spacing w:val="-44"/>
        </w:rPr>
        <w:t> </w:t>
      </w:r>
      <w:r>
        <w:rPr/>
        <w:t>股，</w:t>
      </w:r>
      <w:r>
        <w:rPr>
          <w:w w:val="100"/>
        </w:rPr>
        <w:t> </w:t>
      </w:r>
      <w:r>
        <w:rPr/>
        <w:t>占比</w:t>
      </w:r>
      <w:r>
        <w:rPr>
          <w:spacing w:val="-55"/>
        </w:rPr>
        <w:t> </w:t>
      </w:r>
      <w:r>
        <w:rPr/>
        <w:t>28.35%；中兆投资及其一致行动人茂业百货合计持有公司股份</w:t>
      </w:r>
      <w:r>
        <w:rPr>
          <w:spacing w:val="-55"/>
        </w:rPr>
        <w:t> </w:t>
      </w:r>
      <w:r>
        <w:rPr/>
        <w:t>150,510,927</w:t>
      </w:r>
      <w:r>
        <w:rPr>
          <w:spacing w:val="-55"/>
        </w:rPr>
        <w:t> </w:t>
      </w:r>
      <w:r>
        <w:rPr>
          <w:spacing w:val="-4"/>
        </w:rPr>
        <w:t>股，占比</w:t>
      </w:r>
      <w:r>
        <w:rPr>
          <w:spacing w:val="-57"/>
        </w:rPr>
        <w:t> </w:t>
      </w:r>
      <w:r>
        <w:rPr/>
        <w:t>24.20%；</w:t>
      </w:r>
      <w:r>
        <w:rPr>
          <w:w w:val="100"/>
        </w:rPr>
        <w:t> </w:t>
      </w:r>
      <w:r>
        <w:rPr/>
        <w:t>通泰达持有公司股份</w:t>
      </w:r>
      <w:r>
        <w:rPr>
          <w:spacing w:val="-44"/>
        </w:rPr>
        <w:t> </w:t>
      </w:r>
      <w:r>
        <w:rPr/>
        <w:t>70,000,000</w:t>
      </w:r>
      <w:r>
        <w:rPr>
          <w:spacing w:val="-42"/>
        </w:rPr>
        <w:t> </w:t>
      </w:r>
      <w:r>
        <w:rPr/>
        <w:t>股，占比</w:t>
      </w:r>
      <w:r>
        <w:rPr>
          <w:spacing w:val="-42"/>
        </w:rPr>
        <w:t> </w:t>
      </w:r>
      <w:r>
        <w:rPr/>
        <w:t>11.26%。若非累积投票选举董事，鹰溪谷及其一致行动</w:t>
      </w:r>
      <w:r>
        <w:rPr>
          <w:w w:val="100"/>
        </w:rPr>
        <w:t> </w:t>
      </w:r>
      <w:r>
        <w:rPr/>
        <w:t>人持有公司股份</w:t>
      </w:r>
      <w:r>
        <w:rPr>
          <w:spacing w:val="-48"/>
        </w:rPr>
        <w:t> </w:t>
      </w:r>
      <w:r>
        <w:rPr/>
        <w:t>176,305,222</w:t>
      </w:r>
      <w:r>
        <w:rPr>
          <w:spacing w:val="-48"/>
        </w:rPr>
        <w:t> </w:t>
      </w:r>
      <w:r>
        <w:rPr>
          <w:spacing w:val="-3"/>
        </w:rPr>
        <w:t>股，对中兆投资及其一致行动人持有公司股份</w:t>
      </w:r>
      <w:r>
        <w:rPr>
          <w:spacing w:val="-48"/>
        </w:rPr>
        <w:t> </w:t>
      </w:r>
      <w:r>
        <w:rPr/>
        <w:t>150,510,927</w:t>
      </w:r>
      <w:r>
        <w:rPr>
          <w:spacing w:val="-50"/>
        </w:rPr>
        <w:t> </w:t>
      </w:r>
      <w:r>
        <w:rPr/>
        <w:t>股和通泰</w:t>
      </w:r>
      <w:r>
        <w:rPr>
          <w:spacing w:val="-91"/>
        </w:rPr>
        <w:t> </w:t>
      </w:r>
      <w:r>
        <w:rPr>
          <w:spacing w:val="-91"/>
        </w:rPr>
      </w:r>
      <w:r>
        <w:rPr/>
        <w:t>达持有公司股份</w:t>
      </w:r>
      <w:r>
        <w:rPr>
          <w:spacing w:val="-33"/>
        </w:rPr>
        <w:t> </w:t>
      </w:r>
      <w:r>
        <w:rPr/>
        <w:t>70,000,000</w:t>
      </w:r>
      <w:r>
        <w:rPr>
          <w:spacing w:val="-31"/>
        </w:rPr>
        <w:t> </w:t>
      </w:r>
      <w:r>
        <w:rPr/>
        <w:t>股(合计</w:t>
      </w:r>
      <w:r>
        <w:rPr>
          <w:spacing w:val="-31"/>
        </w:rPr>
        <w:t> </w:t>
      </w:r>
      <w:r>
        <w:rPr/>
        <w:t>220,510,927</w:t>
      </w:r>
      <w:r>
        <w:rPr>
          <w:spacing w:val="-33"/>
        </w:rPr>
        <w:t> </w:t>
      </w:r>
      <w:r>
        <w:rPr/>
        <w:t>股)，不具有支配当选的表决权。若累积投票选</w:t>
      </w:r>
      <w:r>
        <w:rPr>
          <w:w w:val="100"/>
        </w:rPr>
        <w:t> </w:t>
      </w:r>
      <w:r>
        <w:rPr/>
        <w:t>举董事：</w:t>
      </w:r>
    </w:p>
    <w:p>
      <w:pPr>
        <w:pStyle w:val="BodyText"/>
        <w:spacing w:line="273" w:lineRule="auto"/>
        <w:ind w:left="393" w:right="450" w:firstLine="420"/>
        <w:jc w:val="both"/>
      </w:pPr>
      <w:r>
        <w:rPr/>
        <w:t>——公司</w:t>
      </w:r>
      <w:r>
        <w:rPr>
          <w:spacing w:val="-38"/>
        </w:rPr>
        <w:t> </w:t>
      </w:r>
      <w:r>
        <w:rPr/>
        <w:t>6</w:t>
      </w:r>
      <w:r>
        <w:rPr>
          <w:spacing w:val="-41"/>
        </w:rPr>
        <w:t> </w:t>
      </w:r>
      <w:r>
        <w:rPr/>
        <w:t>名非独立董事中，鹰溪谷及其一致行动人能确保</w:t>
      </w:r>
      <w:r>
        <w:rPr>
          <w:spacing w:val="-38"/>
        </w:rPr>
        <w:t> </w:t>
      </w:r>
      <w:r>
        <w:rPr/>
        <w:t>3</w:t>
      </w:r>
      <w:r>
        <w:rPr>
          <w:spacing w:val="-41"/>
        </w:rPr>
        <w:t> </w:t>
      </w:r>
      <w:r>
        <w:rPr/>
        <w:t>名(持股</w:t>
      </w:r>
      <w:r>
        <w:rPr>
          <w:spacing w:val="-38"/>
        </w:rPr>
        <w:t> </w:t>
      </w:r>
      <w:r>
        <w:rPr/>
        <w:t>176,305,222</w:t>
      </w:r>
      <w:r>
        <w:rPr>
          <w:spacing w:val="-41"/>
        </w:rPr>
        <w:t> </w:t>
      </w:r>
      <w:r>
        <w:rPr/>
        <w:t>股×应选</w:t>
      </w:r>
      <w:r>
        <w:rPr>
          <w:w w:val="100"/>
        </w:rPr>
        <w:t> </w:t>
      </w:r>
      <w:r>
        <w:rPr/>
        <w:t>人数</w:t>
      </w:r>
      <w:r>
        <w:rPr>
          <w:spacing w:val="-49"/>
        </w:rPr>
        <w:t> </w:t>
      </w:r>
      <w:r>
        <w:rPr/>
        <w:t>6÷3＝352,610,444</w:t>
      </w:r>
      <w:r>
        <w:rPr>
          <w:spacing w:val="-51"/>
        </w:rPr>
        <w:t> </w:t>
      </w:r>
      <w:r>
        <w:rPr>
          <w:spacing w:val="-3"/>
        </w:rPr>
        <w:t>股)；中兆投资及其一致行动人能确保</w:t>
      </w:r>
      <w:r>
        <w:rPr>
          <w:spacing w:val="-49"/>
        </w:rPr>
        <w:t> </w:t>
      </w:r>
      <w:r>
        <w:rPr/>
        <w:t>2</w:t>
      </w:r>
      <w:r>
        <w:rPr>
          <w:spacing w:val="-49"/>
        </w:rPr>
        <w:t> </w:t>
      </w:r>
      <w:r>
        <w:rPr/>
        <w:t>名(持股</w:t>
      </w:r>
      <w:r>
        <w:rPr>
          <w:spacing w:val="-49"/>
        </w:rPr>
        <w:t> </w:t>
      </w:r>
      <w:r>
        <w:rPr/>
        <w:t>150,510,927</w:t>
      </w:r>
      <w:r>
        <w:rPr>
          <w:spacing w:val="-51"/>
        </w:rPr>
        <w:t> </w:t>
      </w:r>
      <w:r>
        <w:rPr/>
        <w:t>股×应选人</w:t>
      </w:r>
      <w:r>
        <w:rPr>
          <w:spacing w:val="-103"/>
        </w:rPr>
        <w:t> </w:t>
      </w:r>
      <w:r>
        <w:rPr>
          <w:spacing w:val="-103"/>
        </w:rPr>
      </w:r>
      <w:r>
        <w:rPr/>
        <w:t>数</w:t>
      </w:r>
      <w:r>
        <w:rPr>
          <w:spacing w:val="-51"/>
        </w:rPr>
        <w:t> </w:t>
      </w:r>
      <w:r>
        <w:rPr/>
        <w:t>6÷2＝451,532,781</w:t>
      </w:r>
      <w:r>
        <w:rPr>
          <w:spacing w:val="-51"/>
        </w:rPr>
        <w:t> </w:t>
      </w:r>
      <w:r>
        <w:rPr>
          <w:spacing w:val="-10"/>
        </w:rPr>
        <w:t>股)；通泰达能确保</w:t>
      </w:r>
      <w:r>
        <w:rPr>
          <w:spacing w:val="-51"/>
        </w:rPr>
        <w:t> </w:t>
      </w:r>
      <w:r>
        <w:rPr/>
        <w:t>1</w:t>
      </w:r>
      <w:r>
        <w:rPr>
          <w:spacing w:val="-53"/>
        </w:rPr>
        <w:t> </w:t>
      </w:r>
      <w:r>
        <w:rPr/>
        <w:t>名(持股</w:t>
      </w:r>
      <w:r>
        <w:rPr>
          <w:spacing w:val="-53"/>
        </w:rPr>
        <w:t> </w:t>
      </w:r>
      <w:r>
        <w:rPr/>
        <w:t>70,000,000</w:t>
      </w:r>
      <w:r>
        <w:rPr>
          <w:spacing w:val="-51"/>
        </w:rPr>
        <w:t> </w:t>
      </w:r>
      <w:r>
        <w:rPr/>
        <w:t>股×应选人数</w:t>
      </w:r>
      <w:r>
        <w:rPr>
          <w:spacing w:val="-53"/>
        </w:rPr>
        <w:t> </w:t>
      </w:r>
      <w:r>
        <w:rPr/>
        <w:t>6÷1＝420,000,000</w:t>
      </w:r>
      <w:r>
        <w:rPr>
          <w:w w:val="100"/>
        </w:rPr>
        <w:t> </w:t>
      </w:r>
      <w:r>
        <w:rPr>
          <w:spacing w:val="2"/>
        </w:rPr>
        <w:t>股)。2016</w:t>
      </w:r>
      <w:r>
        <w:rPr>
          <w:spacing w:val="30"/>
        </w:rPr>
        <w:t> </w:t>
      </w:r>
      <w:r>
        <w:rPr>
          <w:spacing w:val="6"/>
        </w:rPr>
        <w:t>年公司董事会换届时，当选非独立董事需要获取的赞成票区间为</w:t>
      </w:r>
      <w:r>
        <w:rPr>
          <w:spacing w:val="32"/>
        </w:rPr>
        <w:t> </w:t>
      </w:r>
      <w:r>
        <w:rPr/>
        <w:t>355,656,682</w:t>
      </w:r>
      <w:r>
        <w:rPr>
          <w:spacing w:val="32"/>
        </w:rPr>
        <w:t> </w:t>
      </w:r>
      <w:r>
        <w:rPr>
          <w:spacing w:val="3"/>
        </w:rPr>
        <w:t>股—</w:t>
      </w:r>
      <w:r>
        <w:rPr>
          <w:spacing w:val="-100"/>
        </w:rPr>
        <w:t> </w:t>
      </w:r>
      <w:r>
        <w:rPr>
          <w:spacing w:val="-100"/>
        </w:rPr>
      </w:r>
      <w:r>
        <w:rPr/>
        <w:t>381,064,526</w:t>
      </w:r>
      <w:r>
        <w:rPr>
          <w:spacing w:val="-44"/>
        </w:rPr>
        <w:t> </w:t>
      </w:r>
      <w:r>
        <w:rPr/>
        <w:t>股(含中小股东票)，鹰溪谷及其一致行动人提名的非独立董事当选</w:t>
      </w:r>
      <w:r>
        <w:rPr>
          <w:spacing w:val="-44"/>
        </w:rPr>
        <w:t> </w:t>
      </w:r>
      <w:r>
        <w:rPr/>
        <w:t>3</w:t>
      </w:r>
      <w:r>
        <w:rPr>
          <w:spacing w:val="-44"/>
        </w:rPr>
        <w:t> </w:t>
      </w:r>
      <w:r>
        <w:rPr/>
        <w:t>人。鹰溪谷及其</w:t>
      </w:r>
    </w:p>
    <w:p>
      <w:pPr>
        <w:spacing w:after="0" w:line="273" w:lineRule="auto"/>
        <w:jc w:val="both"/>
        <w:sectPr>
          <w:pgSz w:w="11910" w:h="16840"/>
          <w:pgMar w:header="884" w:footer="1000" w:top="1140" w:bottom="1200" w:left="1080" w:right="960"/>
        </w:sectPr>
      </w:pPr>
    </w:p>
    <w:p>
      <w:pPr>
        <w:pStyle w:val="BodyText"/>
        <w:spacing w:line="240" w:lineRule="auto" w:before="131"/>
        <w:ind w:left="393" w:right="1174"/>
        <w:jc w:val="left"/>
      </w:pPr>
      <w:r>
        <w:rPr/>
        <w:t>一致行动人不拥有决定半数以上董事当选的表决权。</w:t>
      </w:r>
    </w:p>
    <w:p>
      <w:pPr>
        <w:pStyle w:val="BodyText"/>
        <w:spacing w:line="273" w:lineRule="auto" w:before="37"/>
        <w:ind w:left="393" w:right="450" w:firstLine="420"/>
        <w:jc w:val="both"/>
      </w:pPr>
      <w:r>
        <w:rPr/>
        <w:t>——公司</w:t>
      </w:r>
      <w:r>
        <w:rPr>
          <w:spacing w:val="-38"/>
        </w:rPr>
        <w:t> </w:t>
      </w:r>
      <w:r>
        <w:rPr/>
        <w:t>3</w:t>
      </w:r>
      <w:r>
        <w:rPr>
          <w:spacing w:val="-41"/>
        </w:rPr>
        <w:t> </w:t>
      </w:r>
      <w:r>
        <w:rPr/>
        <w:t>名独立董事中，鹰溪谷及其一致行动人不能确保</w:t>
      </w:r>
      <w:r>
        <w:rPr>
          <w:spacing w:val="-38"/>
        </w:rPr>
        <w:t> </w:t>
      </w:r>
      <w:r>
        <w:rPr/>
        <w:t>2</w:t>
      </w:r>
      <w:r>
        <w:rPr>
          <w:spacing w:val="-41"/>
        </w:rPr>
        <w:t> </w:t>
      </w:r>
      <w:r>
        <w:rPr/>
        <w:t>名(持股</w:t>
      </w:r>
      <w:r>
        <w:rPr>
          <w:spacing w:val="-38"/>
        </w:rPr>
        <w:t> </w:t>
      </w:r>
      <w:r>
        <w:rPr/>
        <w:t>176,305,222</w:t>
      </w:r>
      <w:r>
        <w:rPr>
          <w:spacing w:val="-41"/>
        </w:rPr>
        <w:t> </w:t>
      </w:r>
      <w:r>
        <w:rPr/>
        <w:t>股×应选</w:t>
      </w:r>
      <w:r>
        <w:rPr>
          <w:w w:val="100"/>
        </w:rPr>
        <w:t> </w:t>
      </w:r>
      <w:r>
        <w:rPr/>
        <w:t>人数</w:t>
      </w:r>
      <w:r>
        <w:rPr>
          <w:spacing w:val="-49"/>
        </w:rPr>
        <w:t> </w:t>
      </w:r>
      <w:r>
        <w:rPr/>
        <w:t>3÷2＝264,457,833</w:t>
      </w:r>
      <w:r>
        <w:rPr>
          <w:spacing w:val="-51"/>
        </w:rPr>
        <w:t> </w:t>
      </w:r>
      <w:r>
        <w:rPr>
          <w:spacing w:val="-3"/>
        </w:rPr>
        <w:t>股)；中兆投资及其一致行动人能确保</w:t>
      </w:r>
      <w:r>
        <w:rPr>
          <w:spacing w:val="-49"/>
        </w:rPr>
        <w:t> </w:t>
      </w:r>
      <w:r>
        <w:rPr/>
        <w:t>1</w:t>
      </w:r>
      <w:r>
        <w:rPr>
          <w:spacing w:val="-49"/>
        </w:rPr>
        <w:t> </w:t>
      </w:r>
      <w:r>
        <w:rPr/>
        <w:t>名(持股</w:t>
      </w:r>
      <w:r>
        <w:rPr>
          <w:spacing w:val="-49"/>
        </w:rPr>
        <w:t> </w:t>
      </w:r>
      <w:r>
        <w:rPr/>
        <w:t>150,510,927</w:t>
      </w:r>
      <w:r>
        <w:rPr>
          <w:spacing w:val="-51"/>
        </w:rPr>
        <w:t> </w:t>
      </w:r>
      <w:r>
        <w:rPr/>
        <w:t>股×应选人</w:t>
      </w:r>
      <w:r>
        <w:rPr>
          <w:spacing w:val="-103"/>
        </w:rPr>
        <w:t> </w:t>
      </w:r>
      <w:r>
        <w:rPr>
          <w:spacing w:val="-103"/>
        </w:rPr>
      </w:r>
      <w:r>
        <w:rPr>
          <w:w w:val="100"/>
        </w:rPr>
        <w:t>数</w:t>
      </w:r>
      <w:r>
        <w:rPr>
          <w:spacing w:val="-77"/>
          <w:w w:val="100"/>
        </w:rPr>
        <w:t> </w:t>
      </w:r>
      <w:r>
        <w:rPr>
          <w:spacing w:val="-1"/>
          <w:w w:val="100"/>
        </w:rPr>
        <w:t>3÷1＝451,532,781</w:t>
      </w:r>
      <w:r>
        <w:rPr>
          <w:spacing w:val="-77"/>
          <w:w w:val="100"/>
        </w:rPr>
        <w:t> </w:t>
      </w:r>
      <w:r>
        <w:rPr>
          <w:spacing w:val="-12"/>
          <w:w w:val="100"/>
        </w:rPr>
        <w:t>股)；通泰达不能确保</w:t>
      </w:r>
      <w:r>
        <w:rPr>
          <w:spacing w:val="-79"/>
          <w:w w:val="100"/>
        </w:rPr>
        <w:t> </w:t>
      </w:r>
      <w:r>
        <w:rPr>
          <w:w w:val="100"/>
        </w:rPr>
        <w:t>1</w:t>
      </w:r>
      <w:r>
        <w:rPr>
          <w:spacing w:val="-77"/>
          <w:w w:val="100"/>
        </w:rPr>
        <w:t> </w:t>
      </w:r>
      <w:r>
        <w:rPr>
          <w:spacing w:val="-2"/>
          <w:w w:val="100"/>
        </w:rPr>
        <w:t>名(持股</w:t>
      </w:r>
      <w:r>
        <w:rPr>
          <w:spacing w:val="-77"/>
          <w:w w:val="100"/>
        </w:rPr>
        <w:t> </w:t>
      </w:r>
      <w:r>
        <w:rPr>
          <w:spacing w:val="-1"/>
          <w:w w:val="100"/>
        </w:rPr>
        <w:t>70,000,000</w:t>
      </w:r>
      <w:r>
        <w:rPr>
          <w:spacing w:val="-77"/>
          <w:w w:val="100"/>
        </w:rPr>
        <w:t> </w:t>
      </w:r>
      <w:r>
        <w:rPr>
          <w:spacing w:val="-2"/>
          <w:w w:val="100"/>
        </w:rPr>
        <w:t>股×应选人数</w:t>
      </w:r>
      <w:r>
        <w:rPr>
          <w:spacing w:val="-77"/>
          <w:w w:val="100"/>
        </w:rPr>
        <w:t> </w:t>
      </w:r>
      <w:r>
        <w:rPr>
          <w:spacing w:val="-1"/>
          <w:w w:val="100"/>
        </w:rPr>
        <w:t>3÷1＝210,000,000</w:t>
      </w:r>
      <w:r>
        <w:rPr>
          <w:w w:val="100"/>
        </w:rPr>
        <w:t> </w:t>
      </w:r>
      <w:r>
        <w:rPr>
          <w:spacing w:val="5"/>
        </w:rPr>
        <w:t>股)。2016</w:t>
      </w:r>
      <w:r>
        <w:rPr>
          <w:spacing w:val="39"/>
        </w:rPr>
        <w:t> </w:t>
      </w:r>
      <w:r>
        <w:rPr>
          <w:spacing w:val="12"/>
        </w:rPr>
        <w:t>年公司董事会换届时，当选独立董事需要获取的赞成票区间为</w:t>
      </w:r>
      <w:r>
        <w:rPr>
          <w:spacing w:val="41"/>
        </w:rPr>
        <w:t> </w:t>
      </w:r>
      <w:r>
        <w:rPr/>
        <w:t>336,585,584</w:t>
      </w:r>
      <w:r>
        <w:rPr>
          <w:spacing w:val="39"/>
        </w:rPr>
        <w:t> </w:t>
      </w:r>
      <w:r>
        <w:rPr>
          <w:spacing w:val="6"/>
        </w:rPr>
        <w:t>股—</w:t>
      </w:r>
      <w:r>
        <w:rPr>
          <w:spacing w:val="-100"/>
        </w:rPr>
        <w:t> </w:t>
      </w:r>
      <w:r>
        <w:rPr>
          <w:spacing w:val="-100"/>
        </w:rPr>
      </w:r>
      <w:r>
        <w:rPr/>
        <w:t>546,833,538</w:t>
      </w:r>
      <w:r>
        <w:rPr>
          <w:spacing w:val="-43"/>
        </w:rPr>
        <w:t> </w:t>
      </w:r>
      <w:r>
        <w:rPr/>
        <w:t>股(含中小股东票)，鹰溪谷及其一致行动人提名的独立董事当选</w:t>
      </w:r>
      <w:r>
        <w:rPr>
          <w:spacing w:val="-44"/>
        </w:rPr>
        <w:t> </w:t>
      </w:r>
      <w:r>
        <w:rPr/>
        <w:t>1</w:t>
      </w:r>
      <w:r>
        <w:rPr>
          <w:spacing w:val="-43"/>
        </w:rPr>
        <w:t> </w:t>
      </w:r>
      <w:r>
        <w:rPr/>
        <w:t>人。鹰溪谷及其一</w:t>
      </w:r>
      <w:r>
        <w:rPr>
          <w:w w:val="100"/>
        </w:rPr>
        <w:t> </w:t>
      </w:r>
      <w:r>
        <w:rPr/>
        <w:t>致行动人不拥有决定半数以上独立董事当选的表决权。</w:t>
      </w:r>
    </w:p>
    <w:p>
      <w:pPr>
        <w:pStyle w:val="BodyText"/>
        <w:spacing w:line="273" w:lineRule="auto"/>
        <w:ind w:left="393" w:right="342" w:firstLine="420"/>
        <w:jc w:val="left"/>
      </w:pPr>
      <w:r>
        <w:rPr/>
        <w:t>报告期公司董事会</w:t>
      </w:r>
      <w:r>
        <w:rPr>
          <w:spacing w:val="-50"/>
        </w:rPr>
        <w:t> </w:t>
      </w:r>
      <w:r>
        <w:rPr/>
        <w:t>9</w:t>
      </w:r>
      <w:r>
        <w:rPr>
          <w:spacing w:val="-52"/>
        </w:rPr>
        <w:t> </w:t>
      </w:r>
      <w:r>
        <w:rPr/>
        <w:t>名董事(含独立董事)中</w:t>
      </w:r>
      <w:r>
        <w:rPr>
          <w:spacing w:val="-50"/>
        </w:rPr>
        <w:t> </w:t>
      </w:r>
      <w:r>
        <w:rPr/>
        <w:t>4</w:t>
      </w:r>
      <w:r>
        <w:rPr>
          <w:spacing w:val="-52"/>
        </w:rPr>
        <w:t> </w:t>
      </w:r>
      <w:r>
        <w:rPr>
          <w:spacing w:val="-8"/>
        </w:rPr>
        <w:t>人由鹰溪谷提名当选，3</w:t>
      </w:r>
      <w:r>
        <w:rPr>
          <w:spacing w:val="-50"/>
        </w:rPr>
        <w:t> </w:t>
      </w:r>
      <w:r>
        <w:rPr/>
        <w:t>人由中兆投资提名当选，</w:t>
      </w:r>
      <w:r>
        <w:rPr>
          <w:w w:val="100"/>
        </w:rPr>
        <w:t> </w:t>
      </w:r>
      <w:r>
        <w:rPr/>
        <w:t>2</w:t>
      </w:r>
      <w:r>
        <w:rPr>
          <w:spacing w:val="-53"/>
        </w:rPr>
        <w:t> </w:t>
      </w:r>
      <w:r>
        <w:rPr/>
        <w:t>人由通泰达推荐当选。</w:t>
      </w:r>
    </w:p>
    <w:p>
      <w:pPr>
        <w:pStyle w:val="BodyText"/>
        <w:spacing w:line="273" w:lineRule="auto" w:before="164"/>
        <w:ind w:left="393" w:right="450" w:firstLine="420"/>
        <w:jc w:val="both"/>
      </w:pPr>
      <w:r>
        <w:rPr/>
        <w:t>(2)</w:t>
      </w:r>
      <w:r>
        <w:rPr>
          <w:spacing w:val="-22"/>
        </w:rPr>
        <w:t> </w:t>
      </w:r>
      <w:r>
        <w:rPr/>
        <w:t>《公司法》第二百一十六条规定，“控股股东是指其出资额占有限责任公司资本总额百分</w:t>
      </w:r>
      <w:r>
        <w:rPr>
          <w:w w:val="100"/>
        </w:rPr>
        <w:t> </w:t>
      </w:r>
      <w:r>
        <w:rPr>
          <w:spacing w:val="-2"/>
        </w:rPr>
        <w:t>之五十以上或者其持有的股份占股份有限公司股本总额百分之五十以上的股东；出资额或者持有股</w:t>
      </w:r>
      <w:r>
        <w:rPr>
          <w:spacing w:val="-42"/>
        </w:rPr>
        <w:t> </w:t>
      </w:r>
      <w:r>
        <w:rPr>
          <w:spacing w:val="-42"/>
        </w:rPr>
      </w:r>
      <w:r>
        <w:rPr>
          <w:spacing w:val="-2"/>
        </w:rPr>
        <w:t>份的比例虽然不足百分之五十，但依其出资额或者持有的股份所享有的表决权已足以对股东会、股</w:t>
      </w:r>
      <w:r>
        <w:rPr>
          <w:spacing w:val="-44"/>
        </w:rPr>
        <w:t> </w:t>
      </w:r>
      <w:r>
        <w:rPr>
          <w:spacing w:val="-44"/>
        </w:rPr>
      </w:r>
      <w:r>
        <w:rPr/>
        <w:t>东大会的决议产生重大影响的股东”。</w:t>
      </w:r>
    </w:p>
    <w:p>
      <w:pPr>
        <w:pStyle w:val="BodyText"/>
        <w:spacing w:line="273" w:lineRule="auto" w:before="164"/>
        <w:ind w:left="393" w:right="436" w:firstLine="420"/>
        <w:jc w:val="both"/>
      </w:pPr>
      <w:r>
        <w:rPr>
          <w:spacing w:val="-2"/>
        </w:rPr>
        <w:t>同时，根据《上市规则》第18.1条第（七）款规定，“控制，指有权决定一个企业的财务和经</w:t>
      </w:r>
      <w:r>
        <w:rPr>
          <w:w w:val="100"/>
        </w:rPr>
        <w:t> </w:t>
      </w:r>
      <w:r>
        <w:rPr>
          <w:spacing w:val="-2"/>
        </w:rPr>
        <w:t>营政策，并能据以从该企业的经营活动中获取利益。有下列情形之一的，为拥有上市公司控制权：</w:t>
      </w:r>
    </w:p>
    <w:p>
      <w:pPr>
        <w:pStyle w:val="BodyText"/>
        <w:spacing w:line="240" w:lineRule="auto" w:before="8"/>
        <w:ind w:left="813" w:right="1174"/>
        <w:jc w:val="left"/>
      </w:pPr>
      <w:r>
        <w:rPr/>
        <w:t>1、为上市公司持股50%以上的控股股东；</w:t>
      </w:r>
    </w:p>
    <w:p>
      <w:pPr>
        <w:pStyle w:val="BodyText"/>
        <w:spacing w:line="240" w:lineRule="auto" w:before="37"/>
        <w:ind w:left="813" w:right="1174"/>
        <w:jc w:val="left"/>
      </w:pPr>
      <w:r>
        <w:rPr/>
        <w:t>2、可以实际支配上市公司股份表决权超过</w:t>
      </w:r>
      <w:r>
        <w:rPr>
          <w:spacing w:val="-58"/>
        </w:rPr>
        <w:t> </w:t>
      </w:r>
      <w:r>
        <w:rPr/>
        <w:t>30%；</w:t>
      </w:r>
    </w:p>
    <w:p>
      <w:pPr>
        <w:pStyle w:val="BodyText"/>
        <w:spacing w:line="240" w:lineRule="auto" w:before="37"/>
        <w:ind w:left="813" w:right="1174"/>
        <w:jc w:val="left"/>
      </w:pPr>
      <w:r>
        <w:rPr/>
        <w:t>3、通过实际支配上市公司股份表决权能够决定公司董事会半数以上成员选任；</w:t>
      </w:r>
    </w:p>
    <w:p>
      <w:pPr>
        <w:pStyle w:val="BodyText"/>
        <w:spacing w:line="240" w:lineRule="auto" w:before="37"/>
        <w:ind w:left="813" w:right="342"/>
        <w:jc w:val="left"/>
      </w:pPr>
      <w:r>
        <w:rPr/>
        <w:t>4、依其可实际支配的上市公司股份表决权足以对公司股东大会的决议产生重大影响；</w:t>
      </w:r>
    </w:p>
    <w:p>
      <w:pPr>
        <w:pStyle w:val="BodyText"/>
        <w:spacing w:line="240" w:lineRule="auto" w:before="37"/>
        <w:ind w:left="813" w:right="1174"/>
        <w:jc w:val="left"/>
      </w:pPr>
      <w:r>
        <w:rPr/>
        <w:t>5、证监会或者交易所认定的其他情形。”</w:t>
      </w:r>
    </w:p>
    <w:p>
      <w:pPr>
        <w:pStyle w:val="BodyText"/>
        <w:spacing w:line="273" w:lineRule="auto" w:before="37"/>
        <w:ind w:left="393" w:right="450" w:firstLine="420"/>
        <w:jc w:val="both"/>
      </w:pPr>
      <w:r>
        <w:rPr/>
        <w:t>综上，公司报告期持有公司</w:t>
      </w:r>
      <w:r>
        <w:rPr>
          <w:spacing w:val="-23"/>
        </w:rPr>
        <w:t> </w:t>
      </w:r>
      <w:r>
        <w:rPr/>
        <w:t>10%以上股份的大股东鹰溪谷、中兆投资、通泰达都不能单独对公</w:t>
      </w:r>
      <w:r>
        <w:rPr>
          <w:w w:val="100"/>
        </w:rPr>
        <w:t> </w:t>
      </w:r>
      <w:r>
        <w:rPr/>
        <w:t>司形成控制，公司无控股股东。</w:t>
      </w:r>
    </w:p>
    <w:p>
      <w:pPr>
        <w:spacing w:line="240" w:lineRule="auto" w:before="6"/>
        <w:rPr>
          <w:rFonts w:ascii="宋体" w:hAnsi="宋体" w:cs="宋体" w:eastAsia="宋体" w:hint="default"/>
          <w:sz w:val="24"/>
          <w:szCs w:val="24"/>
        </w:rPr>
      </w:pPr>
    </w:p>
    <w:p>
      <w:pPr>
        <w:pStyle w:val="BodyText"/>
        <w:spacing w:line="273" w:lineRule="auto" w:before="0"/>
        <w:ind w:left="813" w:right="342"/>
        <w:jc w:val="left"/>
      </w:pPr>
      <w:r>
        <w:rPr/>
        <w:t>三、实际控制人变化情况</w:t>
      </w:r>
      <w:r>
        <w:rPr>
          <w:w w:val="100"/>
        </w:rPr>
        <w:t> </w:t>
      </w:r>
      <w:r>
        <w:rPr>
          <w:spacing w:val="-2"/>
        </w:rPr>
        <w:t>因上述控股股东变化，报告期公司实际控制人发生变化，原控股股东中兆投资的实际控制人黄</w:t>
      </w:r>
    </w:p>
    <w:p>
      <w:pPr>
        <w:pStyle w:val="BodyText"/>
        <w:spacing w:line="273" w:lineRule="auto"/>
        <w:ind w:left="393" w:right="342"/>
        <w:jc w:val="left"/>
      </w:pPr>
      <w:r>
        <w:rPr>
          <w:spacing w:val="-2"/>
        </w:rPr>
        <w:t>茂如不再是本公司的实际控制人，公司没有新实际控制人。有关实际控制人变更临时报告查询索引</w:t>
      </w:r>
      <w:r>
        <w:rPr>
          <w:spacing w:val="-45"/>
        </w:rPr>
        <w:t> </w:t>
      </w:r>
      <w:r>
        <w:rPr>
          <w:spacing w:val="-45"/>
        </w:rPr>
      </w:r>
      <w:r>
        <w:rPr/>
        <w:t>见上述“有关控股股东变更临时报告查询索引”</w:t>
      </w:r>
    </w:p>
    <w:p>
      <w:pPr>
        <w:pStyle w:val="BodyText"/>
        <w:spacing w:line="273" w:lineRule="auto"/>
        <w:ind w:left="813" w:right="1117"/>
        <w:jc w:val="left"/>
      </w:pPr>
      <w:r>
        <w:rPr/>
        <w:t>本公司最终控制层面存在</w:t>
      </w:r>
      <w:r>
        <w:rPr>
          <w:spacing w:val="-58"/>
        </w:rPr>
        <w:t> </w:t>
      </w:r>
      <w:r>
        <w:rPr/>
        <w:t>3</w:t>
      </w:r>
      <w:r>
        <w:rPr>
          <w:spacing w:val="-56"/>
        </w:rPr>
        <w:t> </w:t>
      </w:r>
      <w:r>
        <w:rPr/>
        <w:t>家持股比例</w:t>
      </w:r>
      <w:r>
        <w:rPr>
          <w:spacing w:val="-56"/>
        </w:rPr>
        <w:t> </w:t>
      </w:r>
      <w:r>
        <w:rPr/>
        <w:t>10%以上的股东，每家股东有一位实际控制人。</w:t>
      </w:r>
      <w:r>
        <w:rPr>
          <w:w w:val="100"/>
        </w:rPr>
        <w:t> </w:t>
      </w:r>
      <w:r>
        <w:rPr/>
        <w:t>1、最终控制层面股东情况</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60"/>
        <w:gridCol w:w="1699"/>
        <w:gridCol w:w="1195"/>
        <w:gridCol w:w="1442"/>
        <w:gridCol w:w="1898"/>
        <w:gridCol w:w="1843"/>
      </w:tblGrid>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法定代表人/</w:t>
            </w:r>
            <w:r>
              <w:rPr>
                <w:rFonts w:ascii="宋体" w:hAnsi="宋体" w:cs="宋体" w:eastAsia="宋体" w:hint="default"/>
                <w:spacing w:val="-65"/>
                <w:sz w:val="18"/>
                <w:szCs w:val="18"/>
              </w:rPr>
              <w:t> </w:t>
            </w:r>
            <w:r>
              <w:rPr>
                <w:rFonts w:ascii="宋体" w:hAnsi="宋体" w:cs="宋体" w:eastAsia="宋体" w:hint="default"/>
                <w:spacing w:val="9"/>
                <w:sz w:val="18"/>
                <w:szCs w:val="18"/>
              </w:rPr>
              <w:t>单位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注册资本(认缴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主要经营业务或管理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活动</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8"/>
              <w:jc w:val="left"/>
              <w:rPr>
                <w:rFonts w:ascii="宋体" w:hAnsi="宋体" w:cs="宋体" w:eastAsia="宋体" w:hint="default"/>
                <w:sz w:val="18"/>
                <w:szCs w:val="18"/>
              </w:rPr>
            </w:pPr>
            <w:r>
              <w:rPr>
                <w:rFonts w:ascii="宋体" w:hAnsi="宋体" w:cs="宋体" w:eastAsia="宋体" w:hint="default"/>
                <w:spacing w:val="12"/>
                <w:sz w:val="18"/>
                <w:szCs w:val="18"/>
              </w:rPr>
              <w:t>孝昌鹰溪谷投资</w:t>
            </w:r>
            <w:r>
              <w:rPr>
                <w:rFonts w:ascii="宋体" w:hAnsi="宋体" w:cs="宋体" w:eastAsia="宋体" w:hint="default"/>
                <w:sz w:val="18"/>
                <w:szCs w:val="18"/>
              </w:rPr>
              <w:t> 中心(有限合伙)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北京中泽启天投资</w:t>
            </w: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12"/>
                <w:sz w:val="18"/>
                <w:szCs w:val="18"/>
              </w:rPr>
              <w:t>中心(</w:t>
            </w:r>
            <w:r>
              <w:rPr>
                <w:rFonts w:ascii="宋体" w:hAnsi="宋体" w:cs="宋体" w:eastAsia="宋体" w:hint="default"/>
                <w:spacing w:val="-66"/>
                <w:sz w:val="18"/>
                <w:szCs w:val="18"/>
              </w:rPr>
              <w:t> </w:t>
            </w:r>
            <w:r>
              <w:rPr>
                <w:rFonts w:ascii="宋体" w:hAnsi="宋体" w:cs="宋体" w:eastAsia="宋体" w:hint="default"/>
                <w:spacing w:val="12"/>
                <w:sz w:val="18"/>
                <w:szCs w:val="18"/>
              </w:rPr>
              <w:t>有限合伙)/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实际控制人吴鹰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sz w:val="18"/>
              </w:rPr>
              <w:t>2014-06-04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4,672.4025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914209213098331154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9"/>
              <w:jc w:val="left"/>
              <w:rPr>
                <w:rFonts w:ascii="宋体" w:hAnsi="宋体" w:cs="宋体" w:eastAsia="宋体" w:hint="default"/>
                <w:sz w:val="18"/>
                <w:szCs w:val="18"/>
              </w:rPr>
            </w:pPr>
            <w:r>
              <w:rPr>
                <w:rFonts w:ascii="宋体" w:hAnsi="宋体" w:cs="宋体" w:eastAsia="宋体" w:hint="default"/>
                <w:spacing w:val="-9"/>
                <w:sz w:val="18"/>
                <w:szCs w:val="18"/>
              </w:rPr>
              <w:t>实业投资、投资管理、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企业管理咨询</w:t>
            </w:r>
          </w:p>
        </w:tc>
      </w:tr>
      <w:tr>
        <w:trPr>
          <w:trHeight w:val="292"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442" w:type="dxa"/>
            <w:tcBorders>
              <w:top w:val="single" w:sz="4" w:space="0" w:color="000000"/>
              <w:left w:val="single" w:sz="4" w:space="0" w:color="000000"/>
              <w:bottom w:val="nil" w:sz="6" w:space="0" w:color="auto"/>
              <w:right w:val="single" w:sz="4" w:space="0" w:color="000000"/>
            </w:tcBorders>
          </w:tcPr>
          <w:p>
            <w:pPr/>
          </w:p>
        </w:tc>
        <w:tc>
          <w:tcPr>
            <w:tcW w:w="1898"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投资兴办实业、经济</w:t>
            </w:r>
          </w:p>
        </w:tc>
      </w:tr>
      <w:tr>
        <w:trPr>
          <w:trHeight w:val="468"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中兆投资管理有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张静(</w:t>
            </w:r>
            <w:r>
              <w:rPr>
                <w:rFonts w:ascii="宋体" w:hAnsi="宋体" w:cs="宋体" w:eastAsia="宋体" w:hint="default"/>
                <w:spacing w:val="-68"/>
                <w:sz w:val="18"/>
                <w:szCs w:val="18"/>
              </w:rPr>
              <w:t> </w:t>
            </w:r>
            <w:r>
              <w:rPr>
                <w:rFonts w:ascii="宋体" w:hAnsi="宋体" w:cs="宋体" w:eastAsia="宋体" w:hint="default"/>
                <w:spacing w:val="6"/>
                <w:sz w:val="18"/>
                <w:szCs w:val="18"/>
              </w:rPr>
              <w:t>女)/</w:t>
            </w:r>
            <w:r>
              <w:rPr>
                <w:rFonts w:ascii="宋体" w:hAnsi="宋体" w:cs="宋体" w:eastAsia="宋体" w:hint="default"/>
                <w:spacing w:val="-68"/>
                <w:sz w:val="18"/>
                <w:szCs w:val="18"/>
              </w:rPr>
              <w:t> </w:t>
            </w:r>
            <w:r>
              <w:rPr>
                <w:rFonts w:ascii="宋体" w:hAnsi="宋体" w:cs="宋体" w:eastAsia="宋体" w:hint="default"/>
                <w:spacing w:val="12"/>
                <w:sz w:val="18"/>
                <w:szCs w:val="18"/>
              </w:rPr>
              <w:t>实际控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制人黄茂如</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84" w:right="0"/>
              <w:jc w:val="left"/>
              <w:rPr>
                <w:rFonts w:ascii="宋体" w:hAnsi="宋体" w:cs="宋体" w:eastAsia="宋体" w:hint="default"/>
                <w:sz w:val="18"/>
                <w:szCs w:val="18"/>
              </w:rPr>
            </w:pPr>
            <w:r>
              <w:rPr>
                <w:rFonts w:ascii="宋体"/>
                <w:sz w:val="18"/>
              </w:rPr>
              <w:t>1997-10-28</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5,000.0000</w:t>
            </w:r>
          </w:p>
        </w:tc>
        <w:tc>
          <w:tcPr>
            <w:tcW w:w="1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91440300279394149B</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信息咨询</w:t>
            </w:r>
            <w:r>
              <w:rPr>
                <w:rFonts w:ascii="宋体" w:hAnsi="宋体" w:cs="宋体" w:eastAsia="宋体" w:hint="default"/>
                <w:spacing w:val="-84"/>
                <w:sz w:val="18"/>
                <w:szCs w:val="18"/>
              </w:rPr>
              <w:t>、</w:t>
            </w:r>
            <w:r>
              <w:rPr>
                <w:rFonts w:ascii="宋体" w:hAnsi="宋体" w:cs="宋体" w:eastAsia="宋体" w:hint="default"/>
                <w:sz w:val="18"/>
                <w:szCs w:val="18"/>
              </w:rPr>
              <w:t>资产管理、</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物业管理、计算机软</w:t>
            </w:r>
          </w:p>
        </w:tc>
      </w:tr>
      <w:tr>
        <w:trPr>
          <w:trHeight w:val="294"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442" w:type="dxa"/>
            <w:tcBorders>
              <w:top w:val="nil" w:sz="6" w:space="0" w:color="auto"/>
              <w:left w:val="single" w:sz="4" w:space="0" w:color="000000"/>
              <w:bottom w:val="single" w:sz="4" w:space="0" w:color="000000"/>
              <w:right w:val="single" w:sz="4" w:space="0" w:color="000000"/>
            </w:tcBorders>
          </w:tcPr>
          <w:p>
            <w:pPr/>
          </w:p>
        </w:tc>
        <w:tc>
          <w:tcPr>
            <w:tcW w:w="1898"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件的技术开发</w:t>
            </w:r>
          </w:p>
        </w:tc>
      </w:tr>
      <w:tr>
        <w:trPr>
          <w:trHeight w:val="8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98"/>
              <w:jc w:val="left"/>
              <w:rPr>
                <w:rFonts w:ascii="宋体" w:hAnsi="宋体" w:cs="宋体" w:eastAsia="宋体" w:hint="default"/>
                <w:sz w:val="18"/>
                <w:szCs w:val="18"/>
              </w:rPr>
            </w:pPr>
            <w:r>
              <w:rPr>
                <w:rFonts w:ascii="宋体" w:hAnsi="宋体" w:cs="宋体" w:eastAsia="宋体" w:hint="default"/>
                <w:spacing w:val="12"/>
                <w:sz w:val="18"/>
                <w:szCs w:val="18"/>
              </w:rPr>
              <w:t>深圳通泰达投资</w:t>
            </w:r>
            <w:r>
              <w:rPr>
                <w:rFonts w:ascii="宋体" w:hAnsi="宋体" w:cs="宋体" w:eastAsia="宋体" w:hint="default"/>
                <w:sz w:val="18"/>
                <w:szCs w:val="18"/>
              </w:rPr>
              <w:t> 中心(有限合伙)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96"/>
              <w:jc w:val="both"/>
              <w:rPr>
                <w:rFonts w:ascii="宋体" w:hAnsi="宋体" w:cs="宋体" w:eastAsia="宋体" w:hint="default"/>
                <w:sz w:val="18"/>
                <w:szCs w:val="18"/>
              </w:rPr>
            </w:pPr>
            <w:r>
              <w:rPr>
                <w:rFonts w:ascii="宋体" w:hAnsi="宋体" w:cs="宋体" w:eastAsia="宋体" w:hint="default"/>
                <w:spacing w:val="5"/>
                <w:sz w:val="18"/>
                <w:szCs w:val="18"/>
              </w:rPr>
              <w:t>上海怀录投资发展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中心(</w:t>
            </w:r>
            <w:r>
              <w:rPr>
                <w:rFonts w:ascii="宋体" w:hAnsi="宋体" w:cs="宋体" w:eastAsia="宋体" w:hint="default"/>
                <w:spacing w:val="-67"/>
                <w:sz w:val="18"/>
                <w:szCs w:val="18"/>
              </w:rPr>
              <w:t> </w:t>
            </w:r>
            <w:r>
              <w:rPr>
                <w:rFonts w:ascii="宋体" w:hAnsi="宋体" w:cs="宋体" w:eastAsia="宋体" w:hint="default"/>
                <w:spacing w:val="12"/>
                <w:sz w:val="18"/>
                <w:szCs w:val="18"/>
              </w:rPr>
              <w:t>有限合伙)/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实际控制人陆美华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84" w:right="0"/>
              <w:jc w:val="left"/>
              <w:rPr>
                <w:rFonts w:ascii="宋体" w:hAnsi="宋体" w:cs="宋体" w:eastAsia="宋体" w:hint="default"/>
                <w:sz w:val="18"/>
                <w:szCs w:val="18"/>
              </w:rPr>
            </w:pPr>
            <w:r>
              <w:rPr>
                <w:rFonts w:ascii="宋体"/>
                <w:sz w:val="18"/>
              </w:rPr>
              <w:t>2016-10-24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140,100.0000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91440300MA5DN2Y80D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5" w:right="100"/>
              <w:jc w:val="both"/>
              <w:rPr>
                <w:rFonts w:ascii="宋体" w:hAnsi="宋体" w:cs="宋体" w:eastAsia="宋体" w:hint="default"/>
                <w:sz w:val="18"/>
                <w:szCs w:val="18"/>
              </w:rPr>
            </w:pPr>
            <w:r>
              <w:rPr>
                <w:rFonts w:ascii="宋体" w:hAnsi="宋体" w:cs="宋体" w:eastAsia="宋体" w:hint="default"/>
                <w:sz w:val="18"/>
                <w:szCs w:val="18"/>
              </w:rPr>
              <w:t>投资兴办实业、创业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投资业务、投资咨询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w:t>
            </w:r>
          </w:p>
        </w:tc>
      </w:tr>
      <w:tr>
        <w:trPr>
          <w:trHeight w:val="257"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股东报告期内控</w:t>
            </w:r>
          </w:p>
        </w:tc>
        <w:tc>
          <w:tcPr>
            <w:tcW w:w="8078" w:type="dxa"/>
            <w:gridSpan w:val="5"/>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制的其他境内外</w:t>
            </w:r>
          </w:p>
        </w:tc>
        <w:tc>
          <w:tcPr>
            <w:tcW w:w="8078" w:type="dxa"/>
            <w:gridSpan w:val="5"/>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报告期内，(1)鹰溪谷、通泰达没有控制其他境内外上市公司；(2)中兆投资没有控制境外上市公司，</w:t>
            </w:r>
          </w:p>
        </w:tc>
      </w:tr>
      <w:tr>
        <w:trPr>
          <w:trHeight w:val="233"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上市公司的股权</w:t>
            </w:r>
          </w:p>
        </w:tc>
        <w:tc>
          <w:tcPr>
            <w:tcW w:w="8078" w:type="dxa"/>
            <w:gridSpan w:val="5"/>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控制其他境内上市公司是控股商业城(股票代码</w:t>
            </w:r>
            <w:r>
              <w:rPr>
                <w:rFonts w:ascii="宋体" w:hAnsi="宋体" w:cs="宋体" w:eastAsia="宋体" w:hint="default"/>
                <w:spacing w:val="-45"/>
                <w:sz w:val="18"/>
                <w:szCs w:val="18"/>
              </w:rPr>
              <w:t> </w:t>
            </w:r>
            <w:r>
              <w:rPr>
                <w:rFonts w:ascii="宋体" w:hAnsi="宋体" w:cs="宋体" w:eastAsia="宋体" w:hint="default"/>
                <w:sz w:val="18"/>
                <w:szCs w:val="18"/>
              </w:rPr>
              <w:t>600306)，持股比例</w:t>
            </w:r>
            <w:r>
              <w:rPr>
                <w:rFonts w:ascii="宋体" w:hAnsi="宋体" w:cs="宋体" w:eastAsia="宋体" w:hint="default"/>
                <w:spacing w:val="-45"/>
                <w:sz w:val="18"/>
                <w:szCs w:val="18"/>
              </w:rPr>
              <w:t> </w:t>
            </w:r>
            <w:r>
              <w:rPr>
                <w:rFonts w:ascii="宋体" w:hAnsi="宋体" w:cs="宋体" w:eastAsia="宋体" w:hint="default"/>
                <w:sz w:val="18"/>
                <w:szCs w:val="18"/>
              </w:rPr>
              <w:t>24.22%。</w:t>
            </w:r>
          </w:p>
        </w:tc>
      </w:tr>
      <w:tr>
        <w:trPr>
          <w:trHeight w:val="260"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078" w:type="dxa"/>
            <w:gridSpan w:val="5"/>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2、最终控制层面自然人情况</w:t>
      </w:r>
    </w:p>
    <w:p>
      <w:pPr>
        <w:spacing w:after="0" w:line="240" w:lineRule="auto"/>
        <w:jc w:val="left"/>
        <w:sectPr>
          <w:footerReference w:type="default" r:id="rId34"/>
          <w:pgSz w:w="11910" w:h="16840"/>
          <w:pgMar w:footer="1000" w:header="884" w:top="1140" w:bottom="1200" w:left="1080" w:right="960"/>
        </w:sectPr>
      </w:pPr>
    </w:p>
    <w:p>
      <w:pPr>
        <w:spacing w:line="240" w:lineRule="auto" w:before="0"/>
        <w:rPr>
          <w:rFonts w:ascii="宋体" w:hAnsi="宋体" w:cs="宋体" w:eastAsia="宋体" w:hint="default"/>
          <w:sz w:val="11"/>
          <w:szCs w:val="11"/>
        </w:rPr>
      </w:pPr>
      <w:r>
        <w:rPr/>
        <w:pict>
          <v:shape style="position:absolute;margin-left:144.240005pt;margin-top:561.359985pt;width:6.016791pt;height:16.125pt;mso-position-horizontal-relative:page;mso-position-vertical-relative:page;z-index:2056" type="#_x0000_t75" stroked="false">
            <v:imagedata r:id="rId36" o:title=""/>
          </v:shape>
        </w:pict>
      </w:r>
      <w:r>
        <w:rPr/>
        <w:pict>
          <v:shape style="position:absolute;margin-left:282.239990pt;margin-top:561.359985pt;width:6.016791pt;height:16.125pt;mso-position-horizontal-relative:page;mso-position-vertical-relative:page;z-index:2128" type="#_x0000_t75" stroked="false">
            <v:imagedata r:id="rId37" o:title=""/>
          </v:shape>
        </w:pict>
      </w:r>
    </w:p>
    <w:tbl>
      <w:tblPr>
        <w:tblW w:w="0" w:type="auto"/>
        <w:jc w:val="left"/>
        <w:tblInd w:w="105" w:type="dxa"/>
        <w:tblLayout w:type="fixed"/>
        <w:tblCellMar>
          <w:top w:w="0" w:type="dxa"/>
          <w:left w:w="0" w:type="dxa"/>
          <w:bottom w:w="0" w:type="dxa"/>
          <w:right w:w="0" w:type="dxa"/>
        </w:tblCellMar>
        <w:tblLook w:val="01E0"/>
      </w:tblPr>
      <w:tblGrid>
        <w:gridCol w:w="2410"/>
        <w:gridCol w:w="842"/>
        <w:gridCol w:w="3077"/>
        <w:gridCol w:w="3310"/>
      </w:tblGrid>
      <w:tr>
        <w:trPr>
          <w:trHeight w:val="466" w:hRule="exact"/>
        </w:trPr>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自然人人姓名</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48" w:hRule="exact"/>
        </w:trPr>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鹰</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黄茂如</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伯利兹(BELIZE)</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3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朱文平</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6" w:hRule="exact"/>
        </w:trPr>
        <w:tc>
          <w:tcPr>
            <w:tcW w:w="2410" w:type="dxa"/>
            <w:tcBorders>
              <w:top w:val="single" w:sz="4" w:space="0" w:color="000000"/>
              <w:left w:val="single" w:sz="4" w:space="0" w:color="000000"/>
              <w:bottom w:val="nil" w:sz="6" w:space="0" w:color="auto"/>
              <w:right w:val="single" w:sz="4" w:space="0" w:color="000000"/>
            </w:tcBorders>
          </w:tcPr>
          <w:p>
            <w:pPr/>
          </w:p>
        </w:tc>
        <w:tc>
          <w:tcPr>
            <w:tcW w:w="7229"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吴鹰从事实业投资及经营，曾任</w:t>
            </w:r>
            <w:r>
              <w:rPr>
                <w:rFonts w:ascii="宋体" w:hAnsi="宋体" w:cs="宋体" w:eastAsia="宋体" w:hint="default"/>
                <w:spacing w:val="-48"/>
                <w:sz w:val="18"/>
                <w:szCs w:val="18"/>
              </w:rPr>
              <w:t> </w:t>
            </w:r>
            <w:r>
              <w:rPr>
                <w:rFonts w:ascii="宋体" w:hAnsi="宋体" w:cs="宋体" w:eastAsia="宋体" w:hint="default"/>
                <w:sz w:val="18"/>
                <w:szCs w:val="18"/>
              </w:rPr>
              <w:t>UT</w:t>
            </w:r>
            <w:r>
              <w:rPr>
                <w:rFonts w:ascii="宋体" w:hAnsi="宋体" w:cs="宋体" w:eastAsia="宋体" w:hint="default"/>
                <w:spacing w:val="-48"/>
                <w:sz w:val="18"/>
                <w:szCs w:val="18"/>
              </w:rPr>
              <w:t> </w:t>
            </w:r>
            <w:r>
              <w:rPr>
                <w:rFonts w:ascii="宋体" w:hAnsi="宋体" w:cs="宋体" w:eastAsia="宋体" w:hint="default"/>
                <w:sz w:val="18"/>
                <w:szCs w:val="18"/>
              </w:rPr>
              <w:t>斯达康(中国)有限公司董事长兼首席执行官，</w:t>
            </w:r>
          </w:p>
        </w:tc>
      </w:tr>
      <w:tr>
        <w:trPr>
          <w:trHeight w:val="234" w:hRule="exact"/>
        </w:trPr>
        <w:tc>
          <w:tcPr>
            <w:tcW w:w="2410" w:type="dxa"/>
            <w:tcBorders>
              <w:top w:val="nil" w:sz="6" w:space="0" w:color="auto"/>
              <w:left w:val="single" w:sz="4" w:space="0" w:color="000000"/>
              <w:bottom w:val="nil" w:sz="6" w:space="0" w:color="auto"/>
              <w:right w:val="single" w:sz="4" w:space="0" w:color="000000"/>
            </w:tcBorders>
          </w:tcPr>
          <w:p>
            <w:pP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现任北京中泽启天投资中心(有限合伙)执行事务合伙人，中泽嘉盟投资有限公司董事长，</w:t>
            </w:r>
          </w:p>
        </w:tc>
      </w:tr>
      <w:tr>
        <w:trPr>
          <w:trHeight w:val="233" w:hRule="exact"/>
        </w:trPr>
        <w:tc>
          <w:tcPr>
            <w:tcW w:w="2410" w:type="dxa"/>
            <w:tcBorders>
              <w:top w:val="nil" w:sz="6" w:space="0" w:color="auto"/>
              <w:left w:val="single" w:sz="4" w:space="0" w:color="000000"/>
              <w:bottom w:val="nil" w:sz="6" w:space="0" w:color="auto"/>
              <w:right w:val="single" w:sz="4" w:space="0" w:color="000000"/>
            </w:tcBorders>
          </w:tcPr>
          <w:p>
            <w:pP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北京博升优势科技发展有限公司董事长，海联金汇(002537.SZ)董事，本公司第一大股东</w:t>
            </w:r>
          </w:p>
        </w:tc>
      </w:tr>
      <w:tr>
        <w:trPr>
          <w:trHeight w:val="467" w:hRule="exact"/>
        </w:trPr>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孝昌鹰溪谷投资中心(有限合伙)的负责人，本公司董事长，数字中国联合会主席。</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
                <w:sz w:val="18"/>
                <w:szCs w:val="18"/>
              </w:rPr>
              <w:t> </w:t>
            </w:r>
            <w:r>
              <w:rPr>
                <w:rFonts w:ascii="宋体" w:hAnsi="宋体" w:cs="宋体" w:eastAsia="宋体" w:hint="default"/>
                <w:sz w:val="18"/>
                <w:szCs w:val="18"/>
              </w:rPr>
              <w:t>黄茂如是茂业国际控股有限公司的创办人，主要职业是企业经营管理者，曾任深</w:t>
            </w:r>
          </w:p>
        </w:tc>
      </w:tr>
      <w:tr>
        <w:trPr>
          <w:trHeight w:val="234" w:hRule="exact"/>
        </w:trPr>
        <w:tc>
          <w:tcPr>
            <w:tcW w:w="2410" w:type="dxa"/>
            <w:tcBorders>
              <w:top w:val="nil" w:sz="6" w:space="0" w:color="auto"/>
              <w:left w:val="single" w:sz="4" w:space="0" w:color="000000"/>
              <w:bottom w:val="nil" w:sz="6" w:space="0" w:color="auto"/>
              <w:right w:val="single" w:sz="4" w:space="0" w:color="000000"/>
            </w:tcBorders>
          </w:tcPr>
          <w:p>
            <w:pP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圳茂业(集团)股份有限公司董事长兼</w:t>
            </w:r>
            <w:r>
              <w:rPr>
                <w:rFonts w:ascii="宋体" w:hAnsi="宋体" w:cs="宋体" w:eastAsia="宋体" w:hint="default"/>
                <w:spacing w:val="-10"/>
                <w:sz w:val="18"/>
                <w:szCs w:val="18"/>
              </w:rPr>
              <w:t> </w:t>
            </w:r>
            <w:r>
              <w:rPr>
                <w:rFonts w:ascii="宋体" w:hAnsi="宋体" w:cs="宋体" w:eastAsia="宋体" w:hint="default"/>
                <w:sz w:val="18"/>
                <w:szCs w:val="18"/>
              </w:rPr>
              <w:t>CEO，深圳茂业商厦有限公司董事长，茂业商业股份</w:t>
            </w:r>
          </w:p>
        </w:tc>
      </w:tr>
      <w:tr>
        <w:trPr>
          <w:trHeight w:val="233" w:hRule="exact"/>
        </w:trPr>
        <w:tc>
          <w:tcPr>
            <w:tcW w:w="2410" w:type="dxa"/>
            <w:tcBorders>
              <w:top w:val="nil" w:sz="6" w:space="0" w:color="auto"/>
              <w:left w:val="single" w:sz="4" w:space="0" w:color="000000"/>
              <w:bottom w:val="nil" w:sz="6" w:space="0" w:color="auto"/>
              <w:right w:val="single" w:sz="4" w:space="0" w:color="000000"/>
            </w:tcBorders>
          </w:tcPr>
          <w:p>
            <w:pP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有限公司董事长，现任茂业国际控股有限公司董事长、执行董事、首席执行官。</w:t>
            </w:r>
          </w:p>
        </w:tc>
      </w:tr>
      <w:tr>
        <w:trPr>
          <w:trHeight w:val="457" w:hRule="exact"/>
        </w:trPr>
        <w:tc>
          <w:tcPr>
            <w:tcW w:w="2410" w:type="dxa"/>
            <w:tcBorders>
              <w:top w:val="nil" w:sz="6" w:space="0" w:color="auto"/>
              <w:left w:val="single" w:sz="4" w:space="0" w:color="000000"/>
              <w:bottom w:val="single" w:sz="4" w:space="0" w:color="000000"/>
              <w:right w:val="single" w:sz="4" w:space="0" w:color="000000"/>
            </w:tcBorders>
          </w:tcPr>
          <w:p>
            <w:pPr/>
          </w:p>
        </w:tc>
        <w:tc>
          <w:tcPr>
            <w:tcW w:w="7229" w:type="dxa"/>
            <w:gridSpan w:val="3"/>
            <w:tcBorders>
              <w:top w:val="nil" w:sz="6" w:space="0" w:color="auto"/>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陆美华从事投资及经营，任上海怀录投资发展中心(有限合伙)负责人。</w:t>
            </w:r>
          </w:p>
        </w:tc>
      </w:tr>
      <w:tr>
        <w:trPr>
          <w:trHeight w:val="260" w:hRule="exact"/>
        </w:trPr>
        <w:tc>
          <w:tcPr>
            <w:tcW w:w="2410" w:type="dxa"/>
            <w:tcBorders>
              <w:top w:val="single" w:sz="4" w:space="0" w:color="000000"/>
              <w:left w:val="single" w:sz="4" w:space="0" w:color="000000"/>
              <w:bottom w:val="nil" w:sz="6" w:space="0" w:color="auto"/>
              <w:right w:val="single" w:sz="4" w:space="0" w:color="000000"/>
            </w:tcBorders>
          </w:tcPr>
          <w:p>
            <w:pPr/>
          </w:p>
        </w:tc>
        <w:tc>
          <w:tcPr>
            <w:tcW w:w="7229" w:type="dxa"/>
            <w:gridSpan w:val="3"/>
            <w:tcBorders>
              <w:top w:val="single" w:sz="4" w:space="0" w:color="000000"/>
              <w:left w:val="single" w:sz="4" w:space="0" w:color="000000"/>
              <w:bottom w:val="nil" w:sz="6" w:space="0" w:color="auto"/>
              <w:right w:val="single" w:sz="4" w:space="0" w:color="000000"/>
            </w:tcBorders>
          </w:tcPr>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吴鹰没有控股境内外上市公司。</w:t>
            </w:r>
          </w:p>
        </w:tc>
      </w:tr>
      <w:tr>
        <w:trPr>
          <w:trHeight w:val="233" w:hRule="exact"/>
        </w:trPr>
        <w:tc>
          <w:tcPr>
            <w:tcW w:w="241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过去 10</w:t>
            </w:r>
            <w:r>
              <w:rPr>
                <w:rFonts w:ascii="宋体" w:hAnsi="宋体" w:cs="宋体" w:eastAsia="宋体" w:hint="default"/>
                <w:spacing w:val="11"/>
                <w:sz w:val="18"/>
                <w:szCs w:val="18"/>
              </w:rPr>
              <w:t> </w:t>
            </w:r>
            <w:r>
              <w:rPr>
                <w:rFonts w:ascii="宋体" w:hAnsi="宋体" w:cs="宋体" w:eastAsia="宋体" w:hint="default"/>
                <w:spacing w:val="2"/>
                <w:sz w:val="18"/>
                <w:szCs w:val="18"/>
              </w:rPr>
              <w:t>年曾控股的境内外</w:t>
            </w: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2"/>
                <w:sz w:val="18"/>
                <w:szCs w:val="18"/>
              </w:rPr>
              <w:t> </w:t>
            </w:r>
            <w:r>
              <w:rPr>
                <w:rFonts w:ascii="宋体" w:hAnsi="宋体" w:cs="宋体" w:eastAsia="宋体" w:hint="default"/>
                <w:sz w:val="18"/>
                <w:szCs w:val="18"/>
              </w:rPr>
              <w:t>黄茂如曾控股境内茂业通信(000889.SZ)，现控股境内茂业商业(600828.SH)、商</w:t>
            </w:r>
          </w:p>
        </w:tc>
      </w:tr>
      <w:tr>
        <w:trPr>
          <w:trHeight w:val="234" w:hRule="exact"/>
        </w:trPr>
        <w:tc>
          <w:tcPr>
            <w:tcW w:w="241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上市公司情况</w:t>
            </w:r>
          </w:p>
        </w:tc>
        <w:tc>
          <w:tcPr>
            <w:tcW w:w="7229" w:type="dxa"/>
            <w:gridSpan w:val="3"/>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业城(600306.SH)，控股境外茂业国际(00848.HK)。</w:t>
            </w:r>
          </w:p>
        </w:tc>
      </w:tr>
      <w:tr>
        <w:trPr>
          <w:trHeight w:val="264" w:hRule="exact"/>
        </w:trPr>
        <w:tc>
          <w:tcPr>
            <w:tcW w:w="2410" w:type="dxa"/>
            <w:tcBorders>
              <w:top w:val="nil" w:sz="6" w:space="0" w:color="auto"/>
              <w:left w:val="single" w:sz="4" w:space="0" w:color="000000"/>
              <w:bottom w:val="single" w:sz="4" w:space="0" w:color="000000"/>
              <w:right w:val="single" w:sz="4" w:space="0" w:color="000000"/>
            </w:tcBorders>
          </w:tcPr>
          <w:p>
            <w:pPr/>
          </w:p>
        </w:tc>
        <w:tc>
          <w:tcPr>
            <w:tcW w:w="7229" w:type="dxa"/>
            <w:gridSpan w:val="3"/>
            <w:tcBorders>
              <w:top w:val="nil" w:sz="6" w:space="0" w:color="auto"/>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陆美华没有控股境内外上市公司。</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813" w:right="1174"/>
        <w:jc w:val="left"/>
      </w:pPr>
      <w:r>
        <w:rPr/>
        <w:pict>
          <v:group style="position:absolute;margin-left:64.320000pt;margin-top:48.98872pt;width:406.6pt;height:203.65pt;mso-position-horizontal-relative:page;mso-position-vertical-relative:paragraph;z-index:-859504" coordorigin="1286,980" coordsize="8132,4073">
            <v:group style="position:absolute;left:4344;top:994;width:104;height:312" coordorigin="4344,994" coordsize="104,312">
              <v:shape style="position:absolute;left:4344;top:994;width:104;height:312" coordorigin="4344,994" coordsize="104,312" path="m4344,1306l4447,1306,4447,994,4344,994,4344,1306xe" filled="true" fillcolor="#d6e3bc" stroked="false">
                <v:path arrowok="t"/>
                <v:fill type="solid"/>
              </v:shape>
            </v:group>
            <v:group style="position:absolute;left:2047;top:994;width:101;height:312" coordorigin="2047,994" coordsize="101,312">
              <v:shape style="position:absolute;left:2047;top:994;width:101;height:312" coordorigin="2047,994" coordsize="101,312" path="m2047,1306l2148,1306,2148,994,2047,994,2047,1306xe" filled="true" fillcolor="#d6e3bc" stroked="false">
                <v:path arrowok="t"/>
                <v:fill type="solid"/>
              </v:shape>
            </v:group>
            <v:group style="position:absolute;left:2148;top:994;width:2196;height:312" coordorigin="2148,994" coordsize="2196,312">
              <v:shape style="position:absolute;left:2148;top:994;width:2196;height:312" coordorigin="2148,994" coordsize="2196,312" path="m2148,994l4344,994,4344,1306,2148,1306,2148,994xe" filled="true" fillcolor="#d6e3bc" stroked="false">
                <v:path arrowok="t"/>
                <v:fill type="solid"/>
              </v:shape>
            </v:group>
            <v:group style="position:absolute;left:4457;top:994;width:104;height:312" coordorigin="4457,994" coordsize="104,312">
              <v:shape style="position:absolute;left:4457;top:994;width:104;height:312" coordorigin="4457,994" coordsize="104,312" path="m4457,1306l4560,1306,4560,994,4457,994,4457,1306xe" filled="true" fillcolor="#d6e3bc" stroked="false">
                <v:path arrowok="t"/>
                <v:fill type="solid"/>
              </v:shape>
            </v:group>
            <v:group style="position:absolute;left:7320;top:994;width:104;height:312" coordorigin="7320,994" coordsize="104,312">
              <v:shape style="position:absolute;left:7320;top:994;width:104;height:312" coordorigin="7320,994" coordsize="104,312" path="m7320,1306l7423,1306,7423,994,7320,994,7320,1306xe" filled="true" fillcolor="#d6e3bc" stroked="false">
                <v:path arrowok="t"/>
                <v:fill type="solid"/>
              </v:shape>
            </v:group>
            <v:group style="position:absolute;left:4560;top:994;width:2760;height:312" coordorigin="4560,994" coordsize="2760,312">
              <v:shape style="position:absolute;left:4560;top:994;width:2760;height:312" coordorigin="4560,994" coordsize="2760,312" path="m4560,994l7320,994,7320,1306,4560,1306,4560,994xe" filled="true" fillcolor="#d6e3bc" stroked="false">
                <v:path arrowok="t"/>
                <v:fill type="solid"/>
              </v:shape>
            </v:group>
            <v:group style="position:absolute;left:7433;top:994;width:104;height:312" coordorigin="7433,994" coordsize="104,312">
              <v:shape style="position:absolute;left:7433;top:994;width:104;height:312" coordorigin="7433,994" coordsize="104,312" path="m7433,1306l7536,1306,7536,994,7433,994,7433,1306xe" filled="true" fillcolor="#d6e3bc" stroked="false">
                <v:path arrowok="t"/>
                <v:fill type="solid"/>
              </v:shape>
            </v:group>
            <v:group style="position:absolute;left:9305;top:994;width:104;height:312" coordorigin="9305,994" coordsize="104,312">
              <v:shape style="position:absolute;left:9305;top:994;width:104;height:312" coordorigin="9305,994" coordsize="104,312" path="m9305,1306l9408,1306,9408,994,9305,994,9305,1306xe" filled="true" fillcolor="#d6e3bc" stroked="false">
                <v:path arrowok="t"/>
                <v:fill type="solid"/>
              </v:shape>
            </v:group>
            <v:group style="position:absolute;left:7536;top:994;width:1769;height:312" coordorigin="7536,994" coordsize="1769,312">
              <v:shape style="position:absolute;left:7536;top:994;width:1769;height:312" coordorigin="7536,994" coordsize="1769,312" path="m7536,994l9305,994,9305,1306,7536,1306,7536,994xe" filled="true" fillcolor="#d6e3bc" stroked="false">
                <v:path arrowok="t"/>
                <v:fill type="solid"/>
              </v:shape>
            </v:group>
            <v:group style="position:absolute;left:2045;top:989;width:2400;height:2" coordorigin="2045,989" coordsize="2400,2">
              <v:shape style="position:absolute;left:2045;top:989;width:2400;height:2" coordorigin="2045,989" coordsize="2400,0" path="m2045,989l4445,989e" filled="false" stroked="true" strokeweight=".48pt" strokecolor="#000000">
                <v:path arrowok="t"/>
              </v:shape>
            </v:group>
            <v:group style="position:absolute;left:4454;top:989;width:2969;height:2" coordorigin="4454,989" coordsize="2969,2">
              <v:shape style="position:absolute;left:4454;top:989;width:2969;height:2" coordorigin="4454,989" coordsize="2969,0" path="m4454,989l7423,989e" filled="false" stroked="true" strokeweight=".48pt" strokecolor="#000000">
                <v:path arrowok="t"/>
              </v:shape>
            </v:group>
            <v:group style="position:absolute;left:7433;top:989;width:1976;height:2" coordorigin="7433,989" coordsize="1976,2">
              <v:shape style="position:absolute;left:7433;top:989;width:1976;height:2" coordorigin="7433,989" coordsize="1976,0" path="m7433,989l9408,989e" filled="false" stroked="true" strokeweight=".48pt" strokecolor="#000000">
                <v:path arrowok="t"/>
              </v:shape>
            </v:group>
            <v:group style="position:absolute;left:2040;top:985;width:2;height:332" coordorigin="2040,985" coordsize="2,332">
              <v:shape style="position:absolute;left:2040;top:985;width:2;height:332" coordorigin="2040,985" coordsize="0,332" path="m2040,985l2040,1316e" filled="false" stroked="true" strokeweight=".48pt" strokecolor="#000000">
                <v:path arrowok="t"/>
              </v:shape>
            </v:group>
            <v:group style="position:absolute;left:2045;top:1311;width:2400;height:2" coordorigin="2045,1311" coordsize="2400,2">
              <v:shape style="position:absolute;left:2045;top:1311;width:2400;height:2" coordorigin="2045,1311" coordsize="2400,0" path="m2045,1311l4445,1311e" filled="false" stroked="true" strokeweight=".48pt" strokecolor="#000000">
                <v:path arrowok="t"/>
              </v:shape>
            </v:group>
            <v:group style="position:absolute;left:4450;top:985;width:2;height:332" coordorigin="4450,985" coordsize="2,332">
              <v:shape style="position:absolute;left:4450;top:985;width:2;height:332" coordorigin="4450,985" coordsize="0,332" path="m4450,985l4450,1316e" filled="false" stroked="true" strokeweight=".48pt" strokecolor="#000000">
                <v:path arrowok="t"/>
              </v:shape>
            </v:group>
            <v:group style="position:absolute;left:4454;top:1311;width:2969;height:2" coordorigin="4454,1311" coordsize="2969,2">
              <v:shape style="position:absolute;left:4454;top:1311;width:2969;height:2" coordorigin="4454,1311" coordsize="2969,0" path="m4454,1311l7423,1311e" filled="false" stroked="true" strokeweight=".48pt" strokecolor="#000000">
                <v:path arrowok="t"/>
              </v:shape>
            </v:group>
            <v:group style="position:absolute;left:7428;top:985;width:2;height:332" coordorigin="7428,985" coordsize="2,332">
              <v:shape style="position:absolute;left:7428;top:985;width:2;height:332" coordorigin="7428,985" coordsize="0,332" path="m7428,985l7428,1316e" filled="false" stroked="true" strokeweight=".48pt" strokecolor="#000000">
                <v:path arrowok="t"/>
              </v:shape>
            </v:group>
            <v:group style="position:absolute;left:7433;top:1311;width:1976;height:2" coordorigin="7433,1311" coordsize="1976,2">
              <v:shape style="position:absolute;left:7433;top:1311;width:1976;height:2" coordorigin="7433,1311" coordsize="1976,0" path="m7433,1311l9408,1311e" filled="false" stroked="true" strokeweight=".48pt" strokecolor="#000000">
                <v:path arrowok="t"/>
              </v:shape>
            </v:group>
            <v:group style="position:absolute;left:9413;top:985;width:2;height:332" coordorigin="9413,985" coordsize="2,332">
              <v:shape style="position:absolute;left:9413;top:985;width:2;height:332" coordorigin="9413,985" coordsize="0,332" path="m9413,985l9413,1316e" filled="false" stroked="true" strokeweight=".48pt" strokecolor="#000000">
                <v:path arrowok="t"/>
              </v:shape>
            </v:group>
            <v:group style="position:absolute;left:6754;top:1637;width:104;height:312" coordorigin="6754,1637" coordsize="104,312">
              <v:shape style="position:absolute;left:6754;top:1637;width:104;height:312" coordorigin="6754,1637" coordsize="104,312" path="m6754,1949l6857,1949,6857,1637,6754,1637,6754,1949xe" filled="true" fillcolor="#d6e3bc" stroked="false">
                <v:path arrowok="t"/>
                <v:fill type="solid"/>
              </v:shape>
            </v:group>
            <v:group style="position:absolute;left:4457;top:1637;width:104;height:312" coordorigin="4457,1637" coordsize="104,312">
              <v:shape style="position:absolute;left:4457;top:1637;width:104;height:312" coordorigin="4457,1637" coordsize="104,312" path="m4457,1949l4560,1949,4560,1637,4457,1637,4457,1949xe" filled="true" fillcolor="#d6e3bc" stroked="false">
                <v:path arrowok="t"/>
                <v:fill type="solid"/>
              </v:shape>
            </v:group>
            <v:group style="position:absolute;left:4560;top:1637;width:2194;height:312" coordorigin="4560,1637" coordsize="2194,312">
              <v:shape style="position:absolute;left:4560;top:1637;width:2194;height:312" coordorigin="4560,1637" coordsize="2194,312" path="m4560,1637l6754,1637,6754,1949,4560,1949,4560,1637xe" filled="true" fillcolor="#d6e3bc" stroked="false">
                <v:path arrowok="t"/>
                <v:fill type="solid"/>
              </v:shape>
            </v:group>
            <v:group style="position:absolute;left:4454;top:1633;width:2403;height:2" coordorigin="4454,1633" coordsize="2403,2">
              <v:shape style="position:absolute;left:4454;top:1633;width:2403;height:2" coordorigin="4454,1633" coordsize="2403,0" path="m4454,1633l6857,1633e" filled="false" stroked="true" strokeweight=".48pt" strokecolor="#000000">
                <v:path arrowok="t"/>
              </v:shape>
            </v:group>
            <v:group style="position:absolute;left:4450;top:1628;width:2;height:332" coordorigin="4450,1628" coordsize="2,332">
              <v:shape style="position:absolute;left:4450;top:1628;width:2;height:332" coordorigin="4450,1628" coordsize="0,332" path="m4450,1628l4450,1959e" filled="false" stroked="true" strokeweight=".48pt" strokecolor="#000000">
                <v:path arrowok="t"/>
              </v:shape>
            </v:group>
            <v:group style="position:absolute;left:4454;top:1954;width:2403;height:2" coordorigin="4454,1954" coordsize="2403,2">
              <v:shape style="position:absolute;left:4454;top:1954;width:2403;height:2" coordorigin="4454,1954" coordsize="2403,0" path="m4454,1954l6857,1954e" filled="false" stroked="true" strokeweight=".48pt" strokecolor="#000000">
                <v:path arrowok="t"/>
              </v:shape>
            </v:group>
            <v:group style="position:absolute;left:6862;top:1628;width:2;height:332" coordorigin="6862,1628" coordsize="2,332">
              <v:shape style="position:absolute;left:6862;top:1628;width:2;height:332" coordorigin="6862,1628" coordsize="0,332" path="m6862,1628l6862,1959e" filled="false" stroked="true" strokeweight=".48pt" strokecolor="#000000">
                <v:path arrowok="t"/>
              </v:shape>
            </v:group>
            <v:group style="position:absolute;left:6754;top:2281;width:104;height:312" coordorigin="6754,2281" coordsize="104,312">
              <v:shape style="position:absolute;left:6754;top:2281;width:104;height:312" coordorigin="6754,2281" coordsize="104,312" path="m6754,2593l6857,2593,6857,2281,6754,2281,6754,2593xe" filled="true" fillcolor="#d6e3bc" stroked="false">
                <v:path arrowok="t"/>
                <v:fill type="solid"/>
              </v:shape>
            </v:group>
            <v:group style="position:absolute;left:4457;top:2281;width:104;height:312" coordorigin="4457,2281" coordsize="104,312">
              <v:shape style="position:absolute;left:4457;top:2281;width:104;height:312" coordorigin="4457,2281" coordsize="104,312" path="m4457,2593l4560,2593,4560,2281,4457,2281,4457,2593xe" filled="true" fillcolor="#d6e3bc" stroked="false">
                <v:path arrowok="t"/>
                <v:fill type="solid"/>
              </v:shape>
            </v:group>
            <v:group style="position:absolute;left:4560;top:2281;width:2194;height:312" coordorigin="4560,2281" coordsize="2194,312">
              <v:shape style="position:absolute;left:4560;top:2281;width:2194;height:312" coordorigin="4560,2281" coordsize="2194,312" path="m4560,2281l6754,2281,6754,2593,4560,2593,4560,2281xe" filled="true" fillcolor="#d6e3bc" stroked="false">
                <v:path arrowok="t"/>
                <v:fill type="solid"/>
              </v:shape>
            </v:group>
            <v:group style="position:absolute;left:4454;top:2276;width:2403;height:2" coordorigin="4454,2276" coordsize="2403,2">
              <v:shape style="position:absolute;left:4454;top:2276;width:2403;height:2" coordorigin="4454,2276" coordsize="2403,0" path="m4454,2276l6857,2276e" filled="false" stroked="true" strokeweight=".48pt" strokecolor="#000000">
                <v:path arrowok="t"/>
              </v:shape>
            </v:group>
            <v:group style="position:absolute;left:4450;top:2271;width:2;height:334" coordorigin="4450,2271" coordsize="2,334">
              <v:shape style="position:absolute;left:4450;top:2271;width:2;height:334" coordorigin="4450,2271" coordsize="0,334" path="m4450,2271l4450,2605e" filled="false" stroked="true" strokeweight=".48pt" strokecolor="#000000">
                <v:path arrowok="t"/>
              </v:shape>
            </v:group>
            <v:group style="position:absolute;left:4454;top:2600;width:2403;height:2" coordorigin="4454,2600" coordsize="2403,2">
              <v:shape style="position:absolute;left:4454;top:2600;width:2403;height:2" coordorigin="4454,2600" coordsize="2403,0" path="m4454,2600l6857,2600e" filled="false" stroked="true" strokeweight=".48pt" strokecolor="#000000">
                <v:path arrowok="t"/>
              </v:shape>
            </v:group>
            <v:group style="position:absolute;left:6862;top:2271;width:2;height:334" coordorigin="6862,2271" coordsize="2,334">
              <v:shape style="position:absolute;left:6862;top:2271;width:2;height:334" coordorigin="6862,2271" coordsize="0,334" path="m6862,2271l6862,2605e" filled="false" stroked="true" strokeweight=".48pt" strokecolor="#000000">
                <v:path arrowok="t"/>
              </v:shape>
            </v:group>
            <v:group style="position:absolute;left:6754;top:2926;width:104;height:312" coordorigin="6754,2926" coordsize="104,312">
              <v:shape style="position:absolute;left:6754;top:2926;width:104;height:312" coordorigin="6754,2926" coordsize="104,312" path="m6754,3238l6857,3238,6857,2926,6754,2926,6754,3238xe" filled="true" fillcolor="#d6e3bc" stroked="false">
                <v:path arrowok="t"/>
                <v:fill type="solid"/>
              </v:shape>
            </v:group>
            <v:group style="position:absolute;left:4457;top:2926;width:104;height:312" coordorigin="4457,2926" coordsize="104,312">
              <v:shape style="position:absolute;left:4457;top:2926;width:104;height:312" coordorigin="4457,2926" coordsize="104,312" path="m4457,3238l4560,3238,4560,2926,4457,2926,4457,3238xe" filled="true" fillcolor="#d6e3bc" stroked="false">
                <v:path arrowok="t"/>
                <v:fill type="solid"/>
              </v:shape>
            </v:group>
            <v:group style="position:absolute;left:4560;top:2926;width:2194;height:312" coordorigin="4560,2926" coordsize="2194,312">
              <v:shape style="position:absolute;left:4560;top:2926;width:2194;height:312" coordorigin="4560,2926" coordsize="2194,312" path="m4560,2926l6754,2926,6754,3238,4560,3238,4560,2926xe" filled="true" fillcolor="#d6e3bc" stroked="false">
                <v:path arrowok="t"/>
                <v:fill type="solid"/>
              </v:shape>
            </v:group>
            <v:group style="position:absolute;left:4454;top:2921;width:2403;height:2" coordorigin="4454,2921" coordsize="2403,2">
              <v:shape style="position:absolute;left:4454;top:2921;width:2403;height:2" coordorigin="4454,2921" coordsize="2403,0" path="m4454,2921l6857,2921e" filled="false" stroked="true" strokeweight=".48pt" strokecolor="#000000">
                <v:path arrowok="t"/>
              </v:shape>
            </v:group>
            <v:group style="position:absolute;left:4450;top:2917;width:2;height:332" coordorigin="4450,2917" coordsize="2,332">
              <v:shape style="position:absolute;left:4450;top:2917;width:2;height:332" coordorigin="4450,2917" coordsize="0,332" path="m4450,2917l4450,3248e" filled="false" stroked="true" strokeweight=".48pt" strokecolor="#000000">
                <v:path arrowok="t"/>
              </v:shape>
            </v:group>
            <v:group style="position:absolute;left:4454;top:3243;width:2403;height:2" coordorigin="4454,3243" coordsize="2403,2">
              <v:shape style="position:absolute;left:4454;top:3243;width:2403;height:2" coordorigin="4454,3243" coordsize="2403,0" path="m4454,3243l6857,3243e" filled="false" stroked="true" strokeweight=".48pt" strokecolor="#000000">
                <v:path arrowok="t"/>
              </v:shape>
            </v:group>
            <v:group style="position:absolute;left:6862;top:2917;width:2;height:332" coordorigin="6862,2917" coordsize="2,332">
              <v:shape style="position:absolute;left:6862;top:2917;width:2;height:332" coordorigin="6862,2917" coordsize="0,332" path="m6862,2917l6862,3248e" filled="false" stroked="true" strokeweight=".48pt" strokecolor="#000000">
                <v:path arrowok="t"/>
              </v:shape>
              <v:shape style="position:absolute;left:5645;top:3229;width:120;height:338" type="#_x0000_t75" stroked="false">
                <v:imagedata r:id="rId38" o:title=""/>
              </v:shape>
              <v:shape style="position:absolute;left:5645;top:2583;width:120;height:338" type="#_x0000_t75" stroked="false">
                <v:imagedata r:id="rId39" o:title=""/>
              </v:shape>
              <v:shape style="position:absolute;left:5645;top:1940;width:120;height:336" type="#_x0000_t75" stroked="false">
                <v:imagedata r:id="rId40" o:title=""/>
              </v:shape>
              <v:shape style="position:absolute;left:5645;top:1294;width:120;height:338" type="#_x0000_t75" stroked="false">
                <v:imagedata r:id="rId38" o:title=""/>
              </v:shape>
            </v:group>
            <v:group style="position:absolute;left:2885;top:1294;width:120;height:2902" coordorigin="2885,1294" coordsize="120,2902">
              <v:shape style="position:absolute;left:2885;top:1294;width:120;height:2902" coordorigin="2885,1294" coordsize="120,2902" path="m2938,4076l2885,4076,2945,4196,2990,4105,2945,4105,2938,4102,2938,4076xe" filled="true" fillcolor="#000000" stroked="false">
                <v:path arrowok="t"/>
                <v:fill type="solid"/>
              </v:shape>
              <v:shape style="position:absolute;left:2885;top:1294;width:120;height:2902" coordorigin="2885,1294" coordsize="120,2902" path="m2945,1294l2938,1297,2938,4102,2945,4105,2950,4102,2952,4097,2952,1301,2950,1297,2945,1294xe" filled="true" fillcolor="#000000" stroked="false">
                <v:path arrowok="t"/>
                <v:fill type="solid"/>
              </v:shape>
              <v:shape style="position:absolute;left:2885;top:1294;width:120;height:2902" coordorigin="2885,1294" coordsize="120,2902" path="m3005,4076l2952,4076,2952,4097,2950,4102,2945,4105,2990,4105,3005,4076xe" filled="true" fillcolor="#000000" stroked="false">
                <v:path arrowok="t"/>
                <v:fill type="solid"/>
              </v:shape>
            </v:group>
            <v:group style="position:absolute;left:8254;top:1294;width:120;height:3548" coordorigin="8254,1294" coordsize="120,3548">
              <v:shape style="position:absolute;left:8254;top:1294;width:120;height:3548" coordorigin="8254,1294" coordsize="120,3548" path="m8306,4721l8254,4721,8314,4841,8359,4750,8314,4750,8309,4748,8306,4741,8306,4721xe" filled="true" fillcolor="#000000" stroked="false">
                <v:path arrowok="t"/>
                <v:fill type="solid"/>
              </v:shape>
              <v:shape style="position:absolute;left:8254;top:1294;width:120;height:3548" coordorigin="8254,1294" coordsize="120,3548" path="m8314,1294l8309,1297,8306,1301,8306,4741,8309,4748,8314,4750,8318,4748,8321,4741,8321,1301,8318,1297,8314,1294xe" filled="true" fillcolor="#000000" stroked="false">
                <v:path arrowok="t"/>
                <v:fill type="solid"/>
              </v:shape>
              <v:shape style="position:absolute;left:8254;top:1294;width:120;height:3548" coordorigin="8254,1294" coordsize="120,3548" path="m8374,4721l8321,4721,8321,4741,8318,4748,8314,4750,8359,4750,8374,4721xe" filled="true" fillcolor="#000000" stroked="false">
                <v:path arrowok="t"/>
                <v:fill type="solid"/>
              </v:shape>
            </v:group>
            <v:group style="position:absolute;left:7188;top:1301;width:2;height:1772" coordorigin="7188,1301" coordsize="2,1772">
              <v:shape style="position:absolute;left:7188;top:1301;width:2;height:1772" coordorigin="7188,1301" coordsize="0,1772" path="m7188,1301l7188,3073e" filled="false" stroked="true" strokeweight=".72pt" strokecolor="#000000">
                <v:path arrowok="t"/>
              </v:shape>
              <v:shape style="position:absolute;left:6859;top:3013;width:338;height:120" type="#_x0000_t75" stroked="false">
                <v:imagedata r:id="rId41" o:title=""/>
              </v:shape>
            </v:group>
            <v:group style="position:absolute;left:1294;top:1136;width:735;height:2" coordorigin="1294,1136" coordsize="735,2">
              <v:shape style="position:absolute;left:1294;top:1136;width:735;height:2" coordorigin="1294,1136" coordsize="735,0" path="m2028,1136l1294,1136e" filled="false" stroked="true" strokeweight=".72pt" strokecolor="#000000">
                <v:path arrowok="t"/>
              </v:shape>
            </v:group>
            <v:group style="position:absolute;left:1294;top:1136;width:2;height:3857" coordorigin="1294,1136" coordsize="2,3857">
              <v:shape style="position:absolute;left:1294;top:1136;width:2;height:3857" coordorigin="1294,1136" coordsize="0,3857" path="m1294,1136l1294,4993e" filled="false" stroked="true" strokeweight=".72pt" strokecolor="#000000">
                <v:path arrowok="t"/>
              </v:shape>
              <v:shape style="position:absolute;left:1286;top:4933;width:173;height:120" type="#_x0000_t75" stroked="false">
                <v:imagedata r:id="rId42" o:title=""/>
              </v:shape>
              <v:shape style="position:absolute;left:2041;top:989;width:2409;height:322" type="#_x0000_t202" filled="false" stroked="false">
                <v:textbox inset="0,0,0,0">
                  <w:txbxContent>
                    <w:p>
                      <w:pPr>
                        <w:spacing w:before="13"/>
                        <w:ind w:left="663" w:right="0" w:firstLine="0"/>
                        <w:jc w:val="left"/>
                        <w:rPr>
                          <w:rFonts w:ascii="宋体" w:hAnsi="宋体" w:cs="宋体" w:eastAsia="宋体" w:hint="default"/>
                          <w:sz w:val="18"/>
                          <w:szCs w:val="18"/>
                        </w:rPr>
                      </w:pPr>
                      <w:r>
                        <w:rPr>
                          <w:rFonts w:ascii="宋体" w:hAnsi="宋体" w:cs="宋体" w:eastAsia="宋体" w:hint="default"/>
                          <w:sz w:val="18"/>
                          <w:szCs w:val="18"/>
                        </w:rPr>
                        <w:t>吴鹰(自然人)</w:t>
                      </w:r>
                    </w:p>
                  </w:txbxContent>
                </v:textbox>
                <w10:wrap type="none"/>
              </v:shape>
              <v:shape style="position:absolute;left:4450;top:989;width:2979;height:322" type="#_x0000_t202" filled="false" stroked="false">
                <v:textbox inset="0,0,0,0">
                  <w:txbxContent>
                    <w:p>
                      <w:pPr>
                        <w:spacing w:before="13"/>
                        <w:ind w:left="859" w:right="0" w:firstLine="0"/>
                        <w:jc w:val="left"/>
                        <w:rPr>
                          <w:rFonts w:ascii="宋体" w:hAnsi="宋体" w:cs="宋体" w:eastAsia="宋体" w:hint="default"/>
                          <w:sz w:val="18"/>
                          <w:szCs w:val="18"/>
                        </w:rPr>
                      </w:pPr>
                      <w:r>
                        <w:rPr>
                          <w:rFonts w:ascii="宋体" w:hAnsi="宋体" w:cs="宋体" w:eastAsia="宋体" w:hint="default"/>
                          <w:sz w:val="18"/>
                          <w:szCs w:val="18"/>
                        </w:rPr>
                        <w:t>黄茂如(自然人)</w:t>
                      </w:r>
                    </w:p>
                  </w:txbxContent>
                </v:textbox>
                <w10:wrap type="none"/>
              </v:shape>
              <v:shape style="position:absolute;left:7428;top:989;width:1985;height:322" type="#_x0000_t202" filled="false" stroked="false">
                <v:textbox inset="0,0,0,0">
                  <w:txbxContent>
                    <w:p>
                      <w:pPr>
                        <w:spacing w:before="13"/>
                        <w:ind w:left="362" w:right="0" w:firstLine="0"/>
                        <w:jc w:val="left"/>
                        <w:rPr>
                          <w:rFonts w:ascii="宋体" w:hAnsi="宋体" w:cs="宋体" w:eastAsia="宋体" w:hint="default"/>
                          <w:sz w:val="18"/>
                          <w:szCs w:val="18"/>
                        </w:rPr>
                      </w:pPr>
                      <w:r>
                        <w:rPr>
                          <w:rFonts w:ascii="宋体" w:hAnsi="宋体" w:cs="宋体" w:eastAsia="宋体" w:hint="default"/>
                          <w:sz w:val="18"/>
                          <w:szCs w:val="18"/>
                        </w:rPr>
                        <w:t>陆美华(自然人)</w:t>
                      </w:r>
                    </w:p>
                  </w:txbxContent>
                </v:textbox>
                <w10:wrap type="none"/>
              </v:shape>
              <v:shape style="position:absolute;left:1474;top:2010;width:52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1.00%</w:t>
                      </w:r>
                    </w:p>
                  </w:txbxContent>
                </v:textbox>
                <w10:wrap type="none"/>
              </v:shape>
              <v:shape style="position:absolute;left:4757;top:1367;width:1800;height:2144" type="#_x0000_t202" filled="false" stroked="false">
                <v:textbox inset="0,0,0,0">
                  <w:txbxContent>
                    <w:p>
                      <w:pPr>
                        <w:spacing w:line="211" w:lineRule="exact" w:before="0"/>
                        <w:ind w:left="1128" w:right="0" w:firstLine="0"/>
                        <w:jc w:val="left"/>
                        <w:rPr>
                          <w:rFonts w:ascii="宋体" w:hAnsi="宋体" w:cs="宋体" w:eastAsia="宋体" w:hint="default"/>
                          <w:sz w:val="21"/>
                          <w:szCs w:val="21"/>
                        </w:rPr>
                      </w:pPr>
                      <w:r>
                        <w:rPr>
                          <w:rFonts w:ascii="宋体"/>
                          <w:sz w:val="21"/>
                        </w:rPr>
                        <w:t>100%</w:t>
                      </w:r>
                    </w:p>
                    <w:p>
                      <w:pPr>
                        <w:spacing w:before="67"/>
                        <w:ind w:left="43" w:right="0" w:firstLine="0"/>
                        <w:jc w:val="left"/>
                        <w:rPr>
                          <w:rFonts w:ascii="宋体" w:hAnsi="宋体" w:cs="宋体" w:eastAsia="宋体" w:hint="default"/>
                          <w:sz w:val="18"/>
                          <w:szCs w:val="18"/>
                        </w:rPr>
                      </w:pPr>
                      <w:r>
                        <w:rPr>
                          <w:rFonts w:ascii="宋体" w:hAnsi="宋体" w:cs="宋体" w:eastAsia="宋体" w:hint="default"/>
                          <w:sz w:val="18"/>
                          <w:szCs w:val="18"/>
                        </w:rPr>
                        <w:t>MOY国际控股有限公司</w:t>
                      </w:r>
                    </w:p>
                    <w:p>
                      <w:pPr>
                        <w:spacing w:before="65"/>
                        <w:ind w:left="1127" w:right="0" w:firstLine="0"/>
                        <w:jc w:val="left"/>
                        <w:rPr>
                          <w:rFonts w:ascii="宋体" w:hAnsi="宋体" w:cs="宋体" w:eastAsia="宋体" w:hint="default"/>
                          <w:sz w:val="21"/>
                          <w:szCs w:val="21"/>
                        </w:rPr>
                      </w:pPr>
                      <w:r>
                        <w:rPr>
                          <w:rFonts w:ascii="宋体"/>
                          <w:sz w:val="21"/>
                        </w:rPr>
                        <w:t>100%</w:t>
                      </w:r>
                    </w:p>
                    <w:p>
                      <w:pPr>
                        <w:spacing w:before="67"/>
                        <w:ind w:left="0" w:right="0" w:firstLine="0"/>
                        <w:jc w:val="left"/>
                        <w:rPr>
                          <w:rFonts w:ascii="宋体" w:hAnsi="宋体" w:cs="宋体" w:eastAsia="宋体" w:hint="default"/>
                          <w:sz w:val="18"/>
                          <w:szCs w:val="18"/>
                        </w:rPr>
                      </w:pPr>
                      <w:r>
                        <w:rPr>
                          <w:rFonts w:ascii="宋体" w:hAnsi="宋体" w:cs="宋体" w:eastAsia="宋体" w:hint="default"/>
                          <w:sz w:val="18"/>
                          <w:szCs w:val="18"/>
                        </w:rPr>
                        <w:t>茂业百货投资有限公司</w:t>
                      </w:r>
                    </w:p>
                    <w:p>
                      <w:pPr>
                        <w:spacing w:before="68"/>
                        <w:ind w:left="1127" w:right="0" w:firstLine="0"/>
                        <w:jc w:val="left"/>
                        <w:rPr>
                          <w:rFonts w:ascii="宋体" w:hAnsi="宋体" w:cs="宋体" w:eastAsia="宋体" w:hint="default"/>
                          <w:sz w:val="21"/>
                          <w:szCs w:val="21"/>
                        </w:rPr>
                      </w:pPr>
                      <w:r>
                        <w:rPr>
                          <w:rFonts w:ascii="宋体"/>
                          <w:sz w:val="21"/>
                        </w:rPr>
                        <w:t>81.69%</w:t>
                      </w:r>
                    </w:p>
                    <w:p>
                      <w:pPr>
                        <w:spacing w:before="67"/>
                        <w:ind w:left="0" w:right="0" w:firstLine="0"/>
                        <w:jc w:val="left"/>
                        <w:rPr>
                          <w:rFonts w:ascii="宋体" w:hAnsi="宋体" w:cs="宋体" w:eastAsia="宋体" w:hint="default"/>
                          <w:sz w:val="18"/>
                          <w:szCs w:val="18"/>
                        </w:rPr>
                      </w:pPr>
                      <w:r>
                        <w:rPr>
                          <w:rFonts w:ascii="宋体" w:hAnsi="宋体" w:cs="宋体" w:eastAsia="宋体" w:hint="default"/>
                          <w:sz w:val="18"/>
                          <w:szCs w:val="18"/>
                        </w:rPr>
                        <w:t>茂业国际控股有限公司</w:t>
                      </w:r>
                    </w:p>
                    <w:p>
                      <w:pPr>
                        <w:spacing w:before="65"/>
                        <w:ind w:left="1128" w:right="0" w:firstLine="0"/>
                        <w:jc w:val="left"/>
                        <w:rPr>
                          <w:rFonts w:ascii="宋体" w:hAnsi="宋体" w:cs="宋体" w:eastAsia="宋体" w:hint="default"/>
                          <w:sz w:val="21"/>
                          <w:szCs w:val="21"/>
                        </w:rPr>
                      </w:pPr>
                      <w:r>
                        <w:rPr>
                          <w:rFonts w:ascii="宋体"/>
                          <w:sz w:val="21"/>
                        </w:rPr>
                        <w:t>100%</w:t>
                      </w:r>
                    </w:p>
                  </w:txbxContent>
                </v:textbox>
                <w10:wrap type="none"/>
              </v:shape>
              <v:shape style="position:absolute;left:7354;top:2010;width:52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0.96%</w:t>
                      </w:r>
                    </w:p>
                  </w:txbxContent>
                </v:textbox>
                <w10:wrap type="none"/>
              </v:shape>
              <v:shape style="position:absolute;left:3156;top:2656;width:63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54.00%</w:t>
                      </w:r>
                    </w:p>
                  </w:txbxContent>
                </v:textbox>
                <w10:wrap type="none"/>
              </v:shape>
              <v:shape style="position:absolute;left:8510;top:2656;width:629;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60.00%</w:t>
                      </w:r>
                    </w:p>
                  </w:txbxContent>
                </v:textbox>
                <w10:wrap type="none"/>
              </v:shape>
              <v:shape style="position:absolute;left:5885;top:3942;width:420;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100%</w:t>
                      </w:r>
                    </w:p>
                  </w:txbxContent>
                </v:textbox>
                <w10:wrap type="none"/>
              </v:shape>
              <v:shape style="position:absolute;left:4451;top:3565;width:2411;height:322" type="#_x0000_t202" filled="true" fillcolor="#d6e3bc" stroked="true" strokeweight=".48pt" strokecolor="#000000">
                <v:textbox inset="0,0,0,0">
                  <w:txbxContent>
                    <w:p>
                      <w:pPr>
                        <w:spacing w:before="8"/>
                        <w:ind w:left="301" w:right="0" w:firstLine="0"/>
                        <w:jc w:val="left"/>
                        <w:rPr>
                          <w:rFonts w:ascii="宋体" w:hAnsi="宋体" w:cs="宋体" w:eastAsia="宋体" w:hint="default"/>
                          <w:sz w:val="18"/>
                          <w:szCs w:val="18"/>
                        </w:rPr>
                      </w:pPr>
                      <w:r>
                        <w:rPr>
                          <w:rFonts w:ascii="宋体" w:hAnsi="宋体" w:cs="宋体" w:eastAsia="宋体" w:hint="default"/>
                          <w:sz w:val="18"/>
                          <w:szCs w:val="18"/>
                        </w:rPr>
                        <w:t>茂业百货控股有限公司</w:t>
                      </w:r>
                    </w:p>
                  </w:txbxContent>
                </v:textbox>
                <v:fill type="solid"/>
                <w10:wrap type="none"/>
              </v:shape>
            </v:group>
            <w10:wrap type="none"/>
          </v:group>
        </w:pict>
      </w:r>
      <w:r>
        <w:rPr/>
        <w:t>四、公司与最终控制层面自然人之间的产权及控制关系的方框图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322" w:lineRule="exact"/>
        <w:ind w:left="4564" w:right="0" w:firstLine="0"/>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76413" cy="204787"/>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37" cstate="print"/>
                    <a:stretch>
                      <a:fillRect/>
                    </a:stretch>
                  </pic:blipFill>
                  <pic:spPr>
                    <a:xfrm>
                      <a:off x="0" y="0"/>
                      <a:ext cx="76413" cy="204787"/>
                    </a:xfrm>
                    <a:prstGeom prst="rect">
                      <a:avLst/>
                    </a:prstGeom>
                  </pic:spPr>
                </pic:pic>
              </a:graphicData>
            </a:graphic>
          </wp:inline>
        </w:drawing>
      </w:r>
      <w:r>
        <w:rPr>
          <w:rFonts w:ascii="宋体" w:hAnsi="宋体" w:cs="宋体" w:eastAsia="宋体" w:hint="default"/>
          <w:position w:val="-5"/>
          <w:sz w:val="20"/>
          <w:szCs w:val="20"/>
        </w:rPr>
      </w:r>
    </w:p>
    <w:tbl>
      <w:tblPr>
        <w:tblW w:w="0" w:type="auto"/>
        <w:jc w:val="left"/>
        <w:tblInd w:w="388" w:type="dxa"/>
        <w:tblLayout w:type="fixed"/>
        <w:tblCellMar>
          <w:top w:w="0" w:type="dxa"/>
          <w:left w:w="0" w:type="dxa"/>
          <w:bottom w:w="0" w:type="dxa"/>
          <w:right w:w="0" w:type="dxa"/>
        </w:tblCellMar>
        <w:tblLook w:val="01E0"/>
      </w:tblPr>
      <w:tblGrid>
        <w:gridCol w:w="2976"/>
        <w:gridCol w:w="2412"/>
        <w:gridCol w:w="2976"/>
      </w:tblGrid>
      <w:tr>
        <w:trPr>
          <w:trHeight w:val="323" w:hRule="exact"/>
        </w:trPr>
        <w:tc>
          <w:tcPr>
            <w:tcW w:w="2976"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孝昌泽熙投资管理中心(有限合伙)</w:t>
            </w:r>
          </w:p>
        </w:tc>
        <w:tc>
          <w:tcPr>
            <w:tcW w:w="2412"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茂业百货(中国)有限公司</w:t>
            </w:r>
          </w:p>
        </w:tc>
        <w:tc>
          <w:tcPr>
            <w:tcW w:w="2976" w:type="dxa"/>
            <w:vMerge w:val="restart"/>
            <w:tcBorders>
              <w:top w:val="nil" w:sz="6" w:space="0" w:color="auto"/>
              <w:left w:val="nil" w:sz="6" w:space="0" w:color="auto"/>
              <w:right w:val="nil" w:sz="6" w:space="0" w:color="auto"/>
            </w:tcBorders>
          </w:tcPr>
          <w:p>
            <w:pPr/>
          </w:p>
        </w:tc>
      </w:tr>
      <w:tr>
        <w:trPr>
          <w:trHeight w:val="323" w:hRule="exact"/>
        </w:trPr>
        <w:tc>
          <w:tcPr>
            <w:tcW w:w="2976"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682" w:right="0"/>
              <w:jc w:val="left"/>
              <w:rPr>
                <w:rFonts w:ascii="宋体" w:hAnsi="宋体" w:cs="宋体" w:eastAsia="宋体" w:hint="default"/>
                <w:sz w:val="21"/>
                <w:szCs w:val="21"/>
              </w:rPr>
            </w:pPr>
            <w:r>
              <w:rPr>
                <w:rFonts w:ascii="宋体"/>
                <w:sz w:val="21"/>
              </w:rPr>
              <w:t>52.59%</w:t>
            </w:r>
          </w:p>
        </w:tc>
        <w:tc>
          <w:tcPr>
            <w:tcW w:w="2412"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435" w:right="0"/>
              <w:jc w:val="left"/>
              <w:rPr>
                <w:rFonts w:ascii="宋体" w:hAnsi="宋体" w:cs="宋体" w:eastAsia="宋体" w:hint="default"/>
                <w:sz w:val="21"/>
                <w:szCs w:val="21"/>
              </w:rPr>
            </w:pPr>
            <w:r>
              <w:rPr>
                <w:rFonts w:ascii="宋体"/>
                <w:sz w:val="21"/>
              </w:rPr>
              <w:t>98.69%</w:t>
            </w:r>
          </w:p>
        </w:tc>
        <w:tc>
          <w:tcPr>
            <w:tcW w:w="2976" w:type="dxa"/>
            <w:vMerge/>
            <w:tcBorders>
              <w:left w:val="nil" w:sz="6" w:space="0" w:color="auto"/>
              <w:bottom w:val="single" w:sz="4" w:space="0" w:color="000000"/>
              <w:right w:val="nil" w:sz="6" w:space="0" w:color="auto"/>
            </w:tcBorders>
          </w:tcPr>
          <w:p>
            <w:pP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北京中泽启天投资中心(有限合伙)</w:t>
            </w:r>
          </w:p>
        </w:tc>
        <w:tc>
          <w:tcPr>
            <w:tcW w:w="2412"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c>
        <w:tc>
          <w:tcPr>
            <w:tcW w:w="2976"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上海怀录投资发展中心(有限合伙)</w:t>
            </w:r>
          </w:p>
        </w:tc>
      </w:tr>
      <w:tr>
        <w:trPr>
          <w:trHeight w:val="322" w:hRule="exact"/>
        </w:trPr>
        <w:tc>
          <w:tcPr>
            <w:tcW w:w="2976"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26.83%</w:t>
            </w:r>
          </w:p>
        </w:tc>
        <w:tc>
          <w:tcPr>
            <w:tcW w:w="2412"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435" w:right="0"/>
              <w:jc w:val="left"/>
              <w:rPr>
                <w:rFonts w:ascii="宋体" w:hAnsi="宋体" w:cs="宋体" w:eastAsia="宋体" w:hint="default"/>
                <w:sz w:val="21"/>
                <w:szCs w:val="21"/>
              </w:rPr>
            </w:pPr>
            <w:r>
              <w:rPr>
                <w:rFonts w:ascii="宋体"/>
                <w:sz w:val="21"/>
              </w:rPr>
              <w:t>100%</w:t>
            </w:r>
          </w:p>
        </w:tc>
        <w:tc>
          <w:tcPr>
            <w:tcW w:w="2976"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648" w:right="0"/>
              <w:jc w:val="left"/>
              <w:rPr>
                <w:rFonts w:ascii="宋体" w:hAnsi="宋体" w:cs="宋体" w:eastAsia="宋体" w:hint="default"/>
                <w:sz w:val="21"/>
                <w:szCs w:val="21"/>
              </w:rPr>
            </w:pPr>
            <w:r>
              <w:rPr>
                <w:rFonts w:ascii="宋体"/>
                <w:sz w:val="21"/>
              </w:rPr>
              <w:t>0.07%</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孝昌鹰溪谷投资中心(有限合伙)</w:t>
            </w:r>
          </w:p>
        </w:tc>
        <w:tc>
          <w:tcPr>
            <w:tcW w:w="2412"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2976" w:type="dxa"/>
            <w:tcBorders>
              <w:top w:val="single" w:sz="4" w:space="0" w:color="000000"/>
              <w:left w:val="single" w:sz="4" w:space="0" w:color="000000"/>
              <w:bottom w:val="single" w:sz="4" w:space="0" w:color="000000"/>
              <w:right w:val="single" w:sz="4" w:space="0" w:color="000000"/>
            </w:tcBorders>
            <w:shd w:val="clear" w:color="auto" w:fill="D6E3BC"/>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深圳通泰达投资中心(有限合伙)</w:t>
            </w:r>
          </w:p>
        </w:tc>
      </w:tr>
      <w:tr>
        <w:trPr>
          <w:trHeight w:val="267" w:hRule="exact"/>
        </w:trPr>
        <w:tc>
          <w:tcPr>
            <w:tcW w:w="2976" w:type="dxa"/>
            <w:tcBorders>
              <w:top w:val="single" w:sz="4" w:space="0" w:color="000000"/>
              <w:left w:val="nil" w:sz="6" w:space="0" w:color="auto"/>
              <w:bottom w:val="nil" w:sz="6" w:space="0" w:color="auto"/>
              <w:right w:val="nil" w:sz="6" w:space="0" w:color="auto"/>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23.86%</w:t>
            </w:r>
          </w:p>
        </w:tc>
        <w:tc>
          <w:tcPr>
            <w:tcW w:w="2412" w:type="dxa"/>
            <w:tcBorders>
              <w:top w:val="single" w:sz="4" w:space="0" w:color="000000"/>
              <w:left w:val="nil" w:sz="6" w:space="0" w:color="auto"/>
              <w:bottom w:val="nil" w:sz="6" w:space="0" w:color="auto"/>
              <w:right w:val="nil" w:sz="6" w:space="0" w:color="auto"/>
            </w:tcBorders>
          </w:tcPr>
          <w:p>
            <w:pPr>
              <w:pStyle w:val="TableParagraph"/>
              <w:spacing w:line="262" w:lineRule="exact"/>
              <w:ind w:left="1435" w:right="0"/>
              <w:jc w:val="left"/>
              <w:rPr>
                <w:rFonts w:ascii="宋体" w:hAnsi="宋体" w:cs="宋体" w:eastAsia="宋体" w:hint="default"/>
                <w:sz w:val="21"/>
                <w:szCs w:val="21"/>
              </w:rPr>
            </w:pPr>
            <w:r>
              <w:rPr>
                <w:rFonts w:ascii="宋体"/>
                <w:sz w:val="21"/>
              </w:rPr>
              <w:t>22.20%</w:t>
            </w:r>
          </w:p>
        </w:tc>
        <w:tc>
          <w:tcPr>
            <w:tcW w:w="2976" w:type="dxa"/>
            <w:tcBorders>
              <w:top w:val="single" w:sz="4" w:space="0" w:color="000000"/>
              <w:left w:val="nil" w:sz="6" w:space="0" w:color="auto"/>
              <w:bottom w:val="nil" w:sz="6" w:space="0" w:color="auto"/>
              <w:right w:val="nil" w:sz="6" w:space="0" w:color="auto"/>
            </w:tcBorders>
          </w:tcPr>
          <w:p>
            <w:pPr>
              <w:pStyle w:val="TableParagraph"/>
              <w:spacing w:line="262" w:lineRule="exact"/>
              <w:ind w:left="1648" w:right="0"/>
              <w:jc w:val="left"/>
              <w:rPr>
                <w:rFonts w:ascii="宋体" w:hAnsi="宋体" w:cs="宋体" w:eastAsia="宋体" w:hint="default"/>
                <w:sz w:val="21"/>
                <w:szCs w:val="21"/>
              </w:rPr>
            </w:pPr>
            <w:r>
              <w:rPr>
                <w:rFonts w:ascii="宋体"/>
                <w:sz w:val="21"/>
              </w:rPr>
              <w:t>11.26%</w:t>
            </w:r>
          </w:p>
        </w:tc>
      </w:tr>
      <w:tr>
        <w:trPr>
          <w:trHeight w:val="377" w:hRule="exact"/>
        </w:trPr>
        <w:tc>
          <w:tcPr>
            <w:tcW w:w="2976"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shd w:val="clear" w:color="auto" w:fill="C6D9F1"/>
          </w:tcPr>
          <w:p>
            <w:pPr>
              <w:pStyle w:val="TableParagraph"/>
              <w:spacing w:line="240" w:lineRule="auto" w:before="67"/>
              <w:ind w:left="124"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c>
          <w:tcPr>
            <w:tcW w:w="297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36"/>
        <w:ind w:left="813" w:right="1174"/>
        <w:jc w:val="left"/>
      </w:pPr>
      <w:r>
        <w:rPr/>
        <w:pict>
          <v:group style="position:absolute;margin-left:146.87999pt;margin-top:-62.498981pt;width:269.2pt;height:34pt;mso-position-horizontal-relative:page;mso-position-vertical-relative:paragraph;z-index:-859480" coordorigin="2938,-1250" coordsize="5384,680">
            <v:group style="position:absolute;left:7178;top:-900;width:104;height:312" coordorigin="7178,-900" coordsize="104,312">
              <v:shape style="position:absolute;left:7178;top:-900;width:104;height:312" coordorigin="7178,-900" coordsize="104,312" path="m7178,-588l7282,-588,7282,-900,7178,-900,7178,-588xe" filled="true" fillcolor="#c6d9f1" stroked="false">
                <v:path arrowok="t"/>
                <v:fill type="solid"/>
              </v:shape>
            </v:group>
            <v:group style="position:absolute;left:4032;top:-900;width:101;height:312" coordorigin="4032,-900" coordsize="101,312">
              <v:shape style="position:absolute;left:4032;top:-900;width:101;height:312" coordorigin="4032,-900" coordsize="101,312" path="m4032,-588l4133,-588,4133,-900,4032,-900,4032,-588xe" filled="true" fillcolor="#c6d9f1" stroked="false">
                <v:path arrowok="t"/>
                <v:fill type="solid"/>
              </v:shape>
            </v:group>
            <v:group style="position:absolute;left:4133;top:-900;width:3046;height:312" coordorigin="4133,-900" coordsize="3046,312">
              <v:shape style="position:absolute;left:4133;top:-900;width:3046;height:312" coordorigin="4133,-900" coordsize="3046,312" path="m4133,-900l7178,-900,7178,-588,4133,-588,4133,-900xe" filled="true" fillcolor="#c6d9f1" stroked="false">
                <v:path arrowok="t"/>
                <v:fill type="solid"/>
              </v:shape>
            </v:group>
            <v:group style="position:absolute;left:4030;top:-904;width:3252;height:2" coordorigin="4030,-904" coordsize="3252,2">
              <v:shape style="position:absolute;left:4030;top:-904;width:3252;height:2" coordorigin="4030,-904" coordsize="3252,0" path="m4030,-904l7282,-904e" filled="false" stroked="true" strokeweight=".48pt" strokecolor="#000000">
                <v:path arrowok="t"/>
              </v:shape>
            </v:group>
            <v:group style="position:absolute;left:4025;top:-909;width:2;height:334" coordorigin="4025,-909" coordsize="2,334">
              <v:shape style="position:absolute;left:4025;top:-909;width:2;height:334" coordorigin="4025,-909" coordsize="0,334" path="m4025,-909l4025,-576e" filled="false" stroked="true" strokeweight=".48pt" strokecolor="#000000">
                <v:path arrowok="t"/>
              </v:shape>
            </v:group>
            <v:group style="position:absolute;left:4030;top:-580;width:3252;height:2" coordorigin="4030,-580" coordsize="3252,2">
              <v:shape style="position:absolute;left:4030;top:-580;width:3252;height:2" coordorigin="4030,-580" coordsize="3252,0" path="m4030,-580l7282,-580e" filled="false" stroked="true" strokeweight=".48pt" strokecolor="#000000">
                <v:path arrowok="t"/>
              </v:shape>
            </v:group>
            <v:group style="position:absolute;left:7286;top:-909;width:2;height:334" coordorigin="7286,-909" coordsize="2,334">
              <v:shape style="position:absolute;left:7286;top:-909;width:2;height:334" coordorigin="7286,-909" coordsize="0,334" path="m7286,-909l7286,-576e" filled="false" stroked="true" strokeweight=".48pt" strokecolor="#000000">
                <v:path arrowok="t"/>
              </v:shape>
              <v:shape style="position:absolute;left:5645;top:-1250;width:120;height:338" type="#_x0000_t75" stroked="false">
                <v:imagedata r:id="rId38" o:title=""/>
              </v:shape>
            </v:group>
            <v:group style="position:absolute;left:2945;top:-1243;width:2;height:495" coordorigin="2945,-1243" coordsize="2,495">
              <v:shape style="position:absolute;left:2945;top:-1243;width:2;height:495" coordorigin="2945,-1243" coordsize="0,495" path="m2945,-1243l2945,-748e" filled="false" stroked="true" strokeweight=".72pt" strokecolor="#000000">
                <v:path arrowok="t"/>
              </v:shape>
            </v:group>
            <v:group style="position:absolute;left:2938;top:-808;width:1071;height:120" coordorigin="2938,-808" coordsize="1071,120">
              <v:shape style="position:absolute;left:2938;top:-808;width:1071;height:120" coordorigin="2938,-808" coordsize="1071,120" path="m3888,-808l3888,-688,3994,-741,3914,-741,3917,-748,3914,-753,3910,-756,3994,-756,3888,-808xe" filled="true" fillcolor="#000000" stroked="false">
                <v:path arrowok="t"/>
                <v:fill type="solid"/>
              </v:shape>
              <v:shape style="position:absolute;left:2938;top:-808;width:1071;height:120" coordorigin="2938,-808" coordsize="1071,120" path="m3888,-756l2945,-756,2938,-753,2938,-741,3888,-741,3888,-756xe" filled="true" fillcolor="#000000" stroked="false">
                <v:path arrowok="t"/>
                <v:fill type="solid"/>
              </v:shape>
              <v:shape style="position:absolute;left:2938;top:-808;width:1071;height:120" coordorigin="2938,-808" coordsize="1071,120" path="m3994,-756l3910,-756,3914,-753,3917,-748,3914,-741,3994,-741,4008,-748,3994,-756xe" filled="true" fillcolor="#000000" stroked="false">
                <v:path arrowok="t"/>
                <v:fill type="solid"/>
              </v:shape>
            </v:group>
            <v:group style="position:absolute;left:8314;top:-1243;width:2;height:495" coordorigin="8314,-1243" coordsize="2,495">
              <v:shape style="position:absolute;left:8314;top:-1243;width:2;height:495" coordorigin="8314,-1243" coordsize="0,495" path="m8314,-1243l8314,-748e" filled="false" stroked="true" strokeweight=".72pt" strokecolor="#000000">
                <v:path arrowok="t"/>
              </v:shape>
            </v:group>
            <v:group style="position:absolute;left:7265;top:-808;width:1056;height:120" coordorigin="7265,-808" coordsize="1056,120">
              <v:shape style="position:absolute;left:7265;top:-808;width:1056;height:120" coordorigin="7265,-808" coordsize="1056,120" path="m7385,-808l7265,-748,7385,-688,7385,-741,7358,-741,7356,-748,7358,-753,7363,-756,7385,-756,7385,-808xe" filled="true" fillcolor="#000000" stroked="false">
                <v:path arrowok="t"/>
                <v:fill type="solid"/>
              </v:shape>
              <v:shape style="position:absolute;left:7265;top:-808;width:1056;height:120" coordorigin="7265,-808" coordsize="1056,120" path="m7385,-756l7363,-756,7358,-753,7356,-748,7358,-741,7385,-741,7385,-756xe" filled="true" fillcolor="#000000" stroked="false">
                <v:path arrowok="t"/>
                <v:fill type="solid"/>
              </v:shape>
              <v:shape style="position:absolute;left:7265;top:-808;width:1056;height:120" coordorigin="7265,-808" coordsize="1056,120" path="m8314,-756l7385,-756,7385,-741,8318,-741,8321,-748,8318,-753,8314,-756xe" filled="true" fillcolor="#000000" stroked="false">
                <v:path arrowok="t"/>
                <v:fill type="solid"/>
              </v:shape>
            </v:group>
            <w10:wrap type="none"/>
          </v:group>
        </w:pict>
      </w:r>
      <w:r>
        <w:rPr/>
        <w:pict>
          <v:shape style="position:absolute;margin-left:144.240005pt;margin-top:-94.058968pt;width:5.972222pt;height:16.125pt;mso-position-horizontal-relative:page;mso-position-vertical-relative:paragraph;z-index:2032" type="#_x0000_t75" stroked="false">
            <v:imagedata r:id="rId43" o:title=""/>
          </v:shape>
        </w:pict>
      </w:r>
      <w:r>
        <w:rPr/>
        <w:pict>
          <v:shape style="position:absolute;margin-left:282.239990pt;margin-top:-94.058968pt;width:5.972222pt;height:16.125pt;mso-position-horizontal-relative:page;mso-position-vertical-relative:paragraph;z-index:2080" type="#_x0000_t75" stroked="false">
            <v:imagedata r:id="rId44" o:title=""/>
          </v:shape>
        </w:pict>
      </w:r>
      <w:r>
        <w:rPr/>
        <w:pict>
          <v:shape style="position:absolute;margin-left:412.679993pt;margin-top:-94.058968pt;width:5.972222pt;height:16.125pt;mso-position-horizontal-relative:page;mso-position-vertical-relative:paragraph;z-index:2104" type="#_x0000_t75" stroked="false">
            <v:imagedata r:id="rId45" o:title=""/>
          </v:shape>
        </w:pict>
      </w:r>
      <w:r>
        <w:rPr/>
        <w:t>上述最终控制层面自然人通过信托或其他资产管理方式控制公司情况</w:t>
      </w:r>
    </w:p>
    <w:p>
      <w:pPr>
        <w:pStyle w:val="BodyText"/>
        <w:tabs>
          <w:tab w:pos="1759" w:val="left" w:leader="none"/>
        </w:tabs>
        <w:spacing w:line="240" w:lineRule="auto" w:before="37"/>
        <w:ind w:left="813" w:right="1174"/>
        <w:jc w:val="left"/>
      </w:pPr>
      <w:r>
        <w:rPr/>
        <w:t>□ 适用</w:t>
        <w:tab/>
        <w:t>√</w:t>
      </w:r>
      <w:r>
        <w:rPr>
          <w:spacing w:val="1"/>
        </w:rPr>
        <w:t> </w:t>
      </w:r>
      <w:r>
        <w:rPr/>
        <w:t>不适用</w:t>
      </w:r>
    </w:p>
    <w:p>
      <w:pPr>
        <w:spacing w:line="240" w:lineRule="auto" w:before="12"/>
        <w:rPr>
          <w:rFonts w:ascii="宋体" w:hAnsi="宋体" w:cs="宋体" w:eastAsia="宋体" w:hint="default"/>
          <w:sz w:val="23"/>
          <w:szCs w:val="23"/>
        </w:rPr>
      </w:pPr>
    </w:p>
    <w:p>
      <w:pPr>
        <w:pStyle w:val="BodyText"/>
        <w:spacing w:line="240" w:lineRule="auto" w:before="36"/>
        <w:ind w:left="813" w:right="1174"/>
        <w:jc w:val="left"/>
      </w:pPr>
      <w:r>
        <w:rPr/>
        <w:t>五、其他</w:t>
      </w:r>
    </w:p>
    <w:p>
      <w:pPr>
        <w:pStyle w:val="BodyText"/>
        <w:spacing w:line="240" w:lineRule="auto" w:before="37"/>
        <w:ind w:left="813" w:right="1174"/>
        <w:jc w:val="left"/>
      </w:pPr>
      <w:r>
        <w:rPr>
          <w:spacing w:val="-1"/>
        </w:rPr>
        <w:t>1、其他持股在</w:t>
      </w:r>
      <w:r>
        <w:rPr>
          <w:spacing w:val="2"/>
        </w:rPr>
        <w:t> </w:t>
      </w:r>
      <w:r>
        <w:rPr>
          <w:spacing w:val="-2"/>
        </w:rPr>
        <w:t>10%以上的法人股东情况见上述最终控制层面股东情况。</w:t>
      </w:r>
    </w:p>
    <w:p>
      <w:pPr>
        <w:spacing w:after="0" w:line="240" w:lineRule="auto"/>
        <w:jc w:val="left"/>
        <w:sectPr>
          <w:footerReference w:type="default" r:id="rId35"/>
          <w:pgSz w:w="11910" w:h="16840"/>
          <w:pgMar w:footer="1000" w:header="884" w:top="1140" w:bottom="1200" w:left="1080" w:right="960"/>
          <w:pgNumType w:start="51"/>
        </w:sectPr>
      </w:pPr>
    </w:p>
    <w:p>
      <w:pPr>
        <w:pStyle w:val="BodyText"/>
        <w:spacing w:line="240" w:lineRule="auto" w:before="131"/>
        <w:ind w:left="813" w:right="1174"/>
        <w:jc w:val="left"/>
      </w:pPr>
      <w:r>
        <w:rPr/>
        <w:t>2、控股股东、实际控制人、重组方及其他承诺主体股份限制减持情况</w:t>
      </w:r>
    </w:p>
    <w:p>
      <w:pPr>
        <w:pStyle w:val="BodyText"/>
        <w:tabs>
          <w:tab w:pos="1759" w:val="left" w:leader="none"/>
        </w:tabs>
        <w:spacing w:line="273" w:lineRule="auto" w:before="37"/>
        <w:ind w:left="813" w:right="6527"/>
        <w:jc w:val="left"/>
      </w:pPr>
      <w:r>
        <w:rPr/>
        <w:t>□ 适用</w:t>
        <w:tab/>
        <w:t>√</w:t>
      </w:r>
      <w:r>
        <w:rPr>
          <w:spacing w:val="1"/>
        </w:rPr>
        <w:t> </w:t>
      </w:r>
      <w:r>
        <w:rPr/>
        <w:t>不适用</w:t>
      </w:r>
      <w:r>
        <w:rPr>
          <w:w w:val="100"/>
        </w:rPr>
        <w:t> </w:t>
      </w:r>
      <w:r>
        <w:rPr/>
        <w:t>3、优先股相关情况</w:t>
      </w:r>
      <w:r>
        <w:rPr>
          <w:w w:val="100"/>
        </w:rPr>
        <w:t> </w:t>
      </w:r>
      <w:r>
        <w:rPr>
          <w:spacing w:val="-2"/>
        </w:rPr>
        <w:t>报告期公司不存在优先股。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2812" w:val="left" w:leader="none"/>
        </w:tabs>
        <w:spacing w:before="172"/>
        <w:ind w:left="1526" w:right="1174" w:firstLine="0"/>
        <w:jc w:val="left"/>
        <w:rPr>
          <w:rFonts w:ascii="宋体" w:hAnsi="宋体" w:cs="宋体" w:eastAsia="宋体" w:hint="default"/>
          <w:sz w:val="32"/>
          <w:szCs w:val="32"/>
        </w:rPr>
      </w:pPr>
      <w:r>
        <w:rPr>
          <w:rFonts w:ascii="宋体" w:hAnsi="宋体" w:cs="宋体" w:eastAsia="宋体" w:hint="default"/>
          <w:b/>
          <w:bCs/>
          <w:w w:val="95"/>
          <w:sz w:val="32"/>
          <w:szCs w:val="32"/>
        </w:rPr>
        <w:t>第七章</w:t>
        <w:tab/>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9"/>
        <w:rPr>
          <w:rFonts w:ascii="宋体" w:hAnsi="宋体" w:cs="宋体" w:eastAsia="宋体" w:hint="default"/>
          <w:b/>
          <w:bCs/>
          <w:sz w:val="34"/>
          <w:szCs w:val="34"/>
        </w:rPr>
      </w:pPr>
    </w:p>
    <w:p>
      <w:pPr>
        <w:tabs>
          <w:tab w:pos="4692" w:val="left" w:leader="none"/>
        </w:tabs>
        <w:spacing w:line="544" w:lineRule="auto" w:before="0"/>
        <w:ind w:left="813" w:right="3793" w:firstLine="3033"/>
        <w:jc w:val="left"/>
        <w:rPr>
          <w:rFonts w:ascii="宋体" w:hAnsi="宋体" w:cs="宋体" w:eastAsia="宋体" w:hint="default"/>
          <w:sz w:val="21"/>
          <w:szCs w:val="21"/>
        </w:rPr>
      </w:pPr>
      <w:r>
        <w:rPr/>
        <w:pict>
          <v:shape style="position:absolute;margin-left:59.279999pt;margin-top:48.981049pt;width:482.65pt;height:439.7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3"/>
                    <w:gridCol w:w="1212"/>
                    <w:gridCol w:w="595"/>
                    <w:gridCol w:w="406"/>
                    <w:gridCol w:w="643"/>
                    <w:gridCol w:w="2467"/>
                    <w:gridCol w:w="1075"/>
                    <w:gridCol w:w="720"/>
                    <w:gridCol w:w="722"/>
                    <w:gridCol w:w="1025"/>
                  </w:tblGrid>
                  <w:tr>
                    <w:trPr>
                      <w:trHeight w:val="710"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101"/>
                          <w:jc w:val="left"/>
                          <w:rPr>
                            <w:rFonts w:ascii="宋体" w:hAnsi="宋体" w:cs="宋体" w:eastAsia="宋体" w:hint="default"/>
                            <w:sz w:val="18"/>
                            <w:szCs w:val="18"/>
                          </w:rPr>
                        </w:pPr>
                        <w:r>
                          <w:rPr>
                            <w:rFonts w:ascii="宋体" w:hAnsi="宋体" w:cs="宋体" w:eastAsia="宋体" w:hint="default"/>
                            <w:spacing w:val="9"/>
                            <w:sz w:val="18"/>
                            <w:szCs w:val="18"/>
                          </w:rPr>
                          <w:t>任职</w:t>
                        </w:r>
                        <w:r>
                          <w:rPr>
                            <w:rFonts w:ascii="宋体" w:hAnsi="宋体" w:cs="宋体" w:eastAsia="宋体" w:hint="default"/>
                            <w:sz w:val="18"/>
                            <w:szCs w:val="18"/>
                          </w:rPr>
                          <w:t> 状态</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110"/>
                          <w:jc w:val="left"/>
                          <w:rPr>
                            <w:rFonts w:ascii="宋体" w:hAnsi="宋体" w:cs="宋体" w:eastAsia="宋体" w:hint="default"/>
                            <w:sz w:val="18"/>
                            <w:szCs w:val="18"/>
                          </w:rPr>
                        </w:pPr>
                        <w:r>
                          <w:rPr>
                            <w:rFonts w:ascii="宋体" w:hAnsi="宋体" w:cs="宋体" w:eastAsia="宋体" w:hint="default"/>
                            <w:sz w:val="18"/>
                            <w:szCs w:val="18"/>
                          </w:rPr>
                          <w:t>性 别</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6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30"/>
                            <w:sz w:val="18"/>
                            <w:szCs w:val="18"/>
                          </w:rPr>
                          <w:t> </w:t>
                        </w:r>
                        <w:r>
                          <w:rPr>
                            <w:rFonts w:ascii="宋体" w:hAnsi="宋体" w:cs="宋体" w:eastAsia="宋体" w:hint="default"/>
                            <w:sz w:val="18"/>
                            <w:szCs w:val="18"/>
                          </w:rPr>
                          <w:t>初</w:t>
                        </w:r>
                        <w:r>
                          <w:rPr>
                            <w:rFonts w:ascii="宋体" w:hAnsi="宋体" w:cs="宋体" w:eastAsia="宋体" w:hint="default"/>
                            <w:spacing w:val="-30"/>
                            <w:sz w:val="18"/>
                            <w:szCs w:val="18"/>
                          </w:rPr>
                          <w:t> </w:t>
                        </w:r>
                        <w:r>
                          <w:rPr>
                            <w:rFonts w:ascii="宋体" w:hAnsi="宋体" w:cs="宋体" w:eastAsia="宋体" w:hint="default"/>
                            <w:sz w:val="18"/>
                            <w:szCs w:val="18"/>
                          </w:rPr>
                          <w:t>持</w:t>
                        </w:r>
                        <w:r>
                          <w:rPr>
                            <w:rFonts w:ascii="宋体" w:hAnsi="宋体" w:cs="宋体" w:eastAsia="宋体" w:hint="default"/>
                            <w:spacing w:val="-30"/>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20"/>
                            <w:sz w:val="18"/>
                            <w:szCs w:val="18"/>
                          </w:rPr>
                          <w:t>(股)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z w:val="18"/>
                            <w:szCs w:val="18"/>
                          </w:rPr>
                          <w:t>增减 </w:t>
                        </w:r>
                        <w:r>
                          <w:rPr>
                            <w:rFonts w:ascii="宋体" w:hAnsi="宋体" w:cs="宋体" w:eastAsia="宋体" w:hint="default"/>
                            <w:spacing w:val="-11"/>
                            <w:sz w:val="18"/>
                            <w:szCs w:val="18"/>
                          </w:rPr>
                          <w:t>数(股)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03" w:right="107"/>
                          <w:jc w:val="left"/>
                          <w:rPr>
                            <w:rFonts w:ascii="宋体" w:hAnsi="宋体" w:cs="宋体" w:eastAsia="宋体" w:hint="default"/>
                            <w:sz w:val="18"/>
                            <w:szCs w:val="18"/>
                          </w:rPr>
                        </w:pPr>
                        <w:r>
                          <w:rPr>
                            <w:rFonts w:ascii="宋体" w:hAnsi="宋体" w:cs="宋体" w:eastAsia="宋体" w:hint="default"/>
                            <w:sz w:val="18"/>
                            <w:szCs w:val="18"/>
                          </w:rPr>
                          <w:t>增减 </w:t>
                        </w:r>
                        <w:r>
                          <w:rPr>
                            <w:rFonts w:ascii="宋体" w:hAnsi="宋体" w:cs="宋体" w:eastAsia="宋体" w:hint="default"/>
                            <w:spacing w:val="-11"/>
                            <w:sz w:val="18"/>
                            <w:szCs w:val="18"/>
                          </w:rPr>
                          <w:t>数(股)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6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末</w:t>
                        </w:r>
                        <w:r>
                          <w:rPr>
                            <w:rFonts w:ascii="宋体" w:hAnsi="宋体" w:cs="宋体" w:eastAsia="宋体" w:hint="default"/>
                            <w:spacing w:val="-47"/>
                            <w:sz w:val="18"/>
                            <w:szCs w:val="18"/>
                          </w:rPr>
                          <w:t> </w:t>
                        </w:r>
                        <w:r>
                          <w:rPr>
                            <w:rFonts w:ascii="宋体" w:hAnsi="宋体" w:cs="宋体" w:eastAsia="宋体" w:hint="default"/>
                            <w:sz w:val="18"/>
                            <w:szCs w:val="18"/>
                          </w:rPr>
                          <w:t>持</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20"/>
                            <w:sz w:val="18"/>
                            <w:szCs w:val="18"/>
                          </w:rPr>
                          <w:t>(股)</w:t>
                        </w:r>
                      </w:p>
                    </w:tc>
                  </w:tr>
                  <w:tr>
                    <w:trPr>
                      <w:trHeight w:val="346"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徐小伍</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张天福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柳 </w:t>
                        </w:r>
                        <w:r>
                          <w:rPr>
                            <w:rFonts w:ascii="宋体" w:hAnsi="宋体" w:cs="宋体" w:eastAsia="宋体" w:hint="default"/>
                            <w:spacing w:val="2"/>
                            <w:sz w:val="18"/>
                            <w:szCs w:val="18"/>
                          </w:rPr>
                          <w:t> </w:t>
                        </w:r>
                        <w:r>
                          <w:rPr>
                            <w:rFonts w:ascii="宋体" w:hAnsi="宋体" w:cs="宋体" w:eastAsia="宋体" w:hint="default"/>
                            <w:sz w:val="18"/>
                            <w:szCs w:val="18"/>
                          </w:rPr>
                          <w:t>攀</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朱文平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廖南钢</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陈国平</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vMerge/>
                        <w:tcBorders>
                          <w:left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22" w:hRule="exact"/>
                    </w:trPr>
                    <w:tc>
                      <w:tcPr>
                        <w:tcW w:w="773"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毛琳娜</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谢海燕</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吕晓清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张海英</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女</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12,942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12,942</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王志远</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离任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汪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center"/>
                          <w:rPr>
                            <w:rFonts w:ascii="宋体" w:hAnsi="宋体" w:cs="宋体" w:eastAsia="宋体" w:hint="default"/>
                            <w:sz w:val="18"/>
                            <w:szCs w:val="18"/>
                          </w:rPr>
                        </w:pPr>
                        <w:r>
                          <w:rPr>
                            <w:rFonts w:ascii="宋体" w:hAnsi="宋体" w:cs="宋体" w:eastAsia="宋体" w:hint="default"/>
                            <w:sz w:val="18"/>
                            <w:szCs w:val="18"/>
                          </w:rPr>
                          <w:t>现任</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男</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0</w:t>
                        </w:r>
                      </w:p>
                    </w:tc>
                  </w:tr>
                  <w:tr>
                    <w:trPr>
                      <w:trHeight w:val="324" w:hRule="exact"/>
                    </w:trPr>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3"/>
                            <w:sz w:val="18"/>
                            <w:szCs w:val="18"/>
                          </w:rPr>
                          <w:t> </w:t>
                        </w:r>
                        <w:r>
                          <w:rPr>
                            <w:rFonts w:ascii="宋体" w:hAnsi="宋体" w:cs="宋体" w:eastAsia="宋体" w:hint="default"/>
                            <w:sz w:val="18"/>
                            <w:szCs w:val="18"/>
                          </w:rPr>
                          <w:t>岁</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r>
                  <w:tr>
                    <w:trPr>
                      <w:trHeight w:val="322" w:hRule="exact"/>
                    </w:trPr>
                    <w:tc>
                      <w:tcPr>
                        <w:tcW w:w="773"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95" w:type="dxa"/>
                        <w:vMerge/>
                        <w:tcBorders>
                          <w:left w:val="single" w:sz="4" w:space="0" w:color="000000"/>
                          <w:bottom w:val="single" w:sz="4" w:space="0" w:color="000000"/>
                          <w:right w:val="single" w:sz="4" w:space="0" w:color="000000"/>
                        </w:tcBorders>
                      </w:tcPr>
                      <w:p>
                        <w:pPr/>
                      </w:p>
                    </w:tc>
                    <w:tc>
                      <w:tcPr>
                        <w:tcW w:w="40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75"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2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center"/>
                          <w:rPr>
                            <w:rFonts w:ascii="宋体" w:hAnsi="宋体" w:cs="宋体" w:eastAsia="宋体" w:hint="default"/>
                            <w:sz w:val="18"/>
                            <w:szCs w:val="18"/>
                          </w:rPr>
                        </w:pPr>
                        <w:r>
                          <w:rPr>
                            <w:rFonts w:ascii="宋体"/>
                            <w:sz w:val="18"/>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sz w:val="18"/>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12,942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12,942</w:t>
                        </w:r>
                      </w:p>
                    </w:tc>
                  </w:tr>
                </w:tbl>
                <w:p>
                  <w:pPr/>
                </w:p>
              </w:txbxContent>
            </v:textbox>
            <w10:wrap type="none"/>
          </v:shape>
        </w:pict>
      </w:r>
      <w:r>
        <w:rPr>
          <w:rFonts w:ascii="宋体" w:hAnsi="宋体" w:cs="宋体" w:eastAsia="宋体" w:hint="default"/>
          <w:b/>
          <w:bCs/>
          <w:sz w:val="21"/>
          <w:szCs w:val="21"/>
        </w:rPr>
        <w:t>第一节</w:t>
        <w:tab/>
        <w:t>高层人员情况</w:t>
      </w:r>
      <w:r>
        <w:rPr>
          <w:rFonts w:ascii="宋体" w:hAnsi="宋体" w:cs="宋体" w:eastAsia="宋体" w:hint="default"/>
          <w:b/>
          <w:bCs/>
          <w:w w:val="100"/>
          <w:sz w:val="21"/>
          <w:szCs w:val="21"/>
        </w:rPr>
        <w:t> </w:t>
      </w:r>
      <w:r>
        <w:rPr>
          <w:rFonts w:ascii="宋体" w:hAnsi="宋体" w:cs="宋体" w:eastAsia="宋体" w:hint="default"/>
          <w:spacing w:val="-2"/>
          <w:sz w:val="21"/>
          <w:szCs w:val="21"/>
        </w:rPr>
        <w:t>一、报告期公司董事、监事和高级管理人员持股变动情况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73" w:lineRule="auto" w:before="36"/>
        <w:ind w:left="393" w:right="450" w:firstLine="420"/>
        <w:jc w:val="both"/>
      </w:pPr>
      <w:r>
        <w:rPr>
          <w:spacing w:val="-2"/>
        </w:rPr>
        <w:t>注：1、为区分直接和间接持股，本报告期未在上表中列入谢海燕、林明的间接持股数。2、上</w:t>
      </w:r>
      <w:r>
        <w:rPr>
          <w:w w:val="100"/>
        </w:rPr>
        <w:t> </w:t>
      </w:r>
      <w:r>
        <w:rPr/>
        <w:t>表所列高层人员中，吴鹰通过孝昌泽熙投资管理中心(有限合伙)、北京中泽启天投资中心(有限合</w:t>
      </w:r>
      <w:r>
        <w:rPr>
          <w:spacing w:val="-21"/>
        </w:rPr>
        <w:t> </w:t>
      </w:r>
      <w:r>
        <w:rPr>
          <w:spacing w:val="-21"/>
        </w:rPr>
      </w:r>
      <w:r>
        <w:rPr>
          <w:spacing w:val="14"/>
        </w:rPr>
        <w:t>伙)、孝昌鹰溪谷投资中心(有限合伙)、北京博升优势科技发展有限公司间接持有公司股份</w:t>
      </w:r>
      <w:r>
        <w:rPr>
          <w:spacing w:val="8"/>
        </w:rPr>
        <w:t> </w:t>
      </w:r>
      <w:r>
        <w:rPr>
          <w:spacing w:val="8"/>
        </w:rPr>
      </w:r>
      <w:r>
        <w:rPr>
          <w:spacing w:val="-1"/>
          <w:w w:val="100"/>
        </w:rPr>
        <w:t>11,833,514</w:t>
      </w:r>
      <w:r>
        <w:rPr>
          <w:spacing w:val="20"/>
          <w:w w:val="100"/>
        </w:rPr>
        <w:t> </w:t>
      </w:r>
      <w:r>
        <w:rPr>
          <w:spacing w:val="-5"/>
          <w:w w:val="100"/>
        </w:rPr>
        <w:t>股；谢海燕通过上海峰幽投资管理中心（普通合伙）、孝昌凯岩投资中心（有限合伙）</w:t>
      </w:r>
    </w:p>
    <w:p>
      <w:pPr>
        <w:spacing w:after="0" w:line="273" w:lineRule="auto"/>
        <w:jc w:val="both"/>
        <w:sectPr>
          <w:pgSz w:w="11910" w:h="16840"/>
          <w:pgMar w:header="884" w:footer="1000" w:top="1140" w:bottom="1200" w:left="1080" w:right="960"/>
        </w:sectPr>
      </w:pPr>
    </w:p>
    <w:p>
      <w:pPr>
        <w:pStyle w:val="BodyText"/>
        <w:spacing w:line="273" w:lineRule="auto" w:before="131"/>
        <w:ind w:left="393" w:right="455"/>
        <w:jc w:val="both"/>
      </w:pPr>
      <w:r>
        <w:rPr/>
        <w:t>间接持有公司股份</w:t>
      </w:r>
      <w:r>
        <w:rPr>
          <w:spacing w:val="-65"/>
        </w:rPr>
        <w:t> </w:t>
      </w:r>
      <w:r>
        <w:rPr/>
        <w:t>7,764,098</w:t>
      </w:r>
      <w:r>
        <w:rPr>
          <w:spacing w:val="-65"/>
        </w:rPr>
        <w:t> </w:t>
      </w:r>
      <w:r>
        <w:rPr/>
        <w:t>股；林明通过北京恒丰新星投资中心(普通合伙)、北京汇众达观投资</w:t>
      </w:r>
      <w:r>
        <w:rPr>
          <w:w w:val="100"/>
        </w:rPr>
        <w:t> </w:t>
      </w:r>
      <w:r>
        <w:rPr/>
        <w:t>中心(有限合伙)、鹰溪谷、博升优势间接持有公司股份</w:t>
      </w:r>
      <w:r>
        <w:rPr>
          <w:spacing w:val="-65"/>
        </w:rPr>
        <w:t> </w:t>
      </w:r>
      <w:r>
        <w:rPr/>
        <w:t>2,180,000</w:t>
      </w:r>
      <w:r>
        <w:rPr>
          <w:spacing w:val="-66"/>
        </w:rPr>
        <w:t> </w:t>
      </w:r>
      <w:r>
        <w:rPr/>
        <w:t>股；上述间接持股报告期没有增</w:t>
      </w:r>
      <w:r>
        <w:rPr>
          <w:w w:val="100"/>
        </w:rPr>
        <w:t> </w:t>
      </w:r>
      <w:r>
        <w:rPr/>
        <w:t>减变动。3、公司其他董事、监事和高级管理人员未持有公司股份。</w:t>
      </w:r>
    </w:p>
    <w:p>
      <w:pPr>
        <w:spacing w:line="240" w:lineRule="auto" w:before="6"/>
        <w:rPr>
          <w:rFonts w:ascii="宋体" w:hAnsi="宋体" w:cs="宋体" w:eastAsia="宋体" w:hint="default"/>
          <w:sz w:val="24"/>
          <w:szCs w:val="24"/>
        </w:rPr>
      </w:pPr>
    </w:p>
    <w:p>
      <w:pPr>
        <w:pStyle w:val="BodyText"/>
        <w:spacing w:line="240" w:lineRule="auto" w:before="0"/>
        <w:ind w:left="813" w:right="1174"/>
        <w:jc w:val="left"/>
      </w:pPr>
      <w:r>
        <w:rPr/>
        <w:t>二、报告期公司董事、监事、高级管理人员变动情况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77"/>
        <w:gridCol w:w="1702"/>
        <w:gridCol w:w="1841"/>
        <w:gridCol w:w="1843"/>
        <w:gridCol w:w="2976"/>
      </w:tblGrid>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廖南钢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当选监事会主席。</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陈国平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王志远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监事、监事会主席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3"/>
        <w:rPr>
          <w:rFonts w:ascii="宋体" w:hAnsi="宋体" w:cs="宋体" w:eastAsia="宋体" w:hint="default"/>
          <w:sz w:val="8"/>
          <w:szCs w:val="8"/>
        </w:rPr>
      </w:pPr>
    </w:p>
    <w:p>
      <w:pPr>
        <w:pStyle w:val="BodyText"/>
        <w:spacing w:line="240" w:lineRule="auto" w:before="36"/>
        <w:ind w:left="813" w:right="1174"/>
        <w:jc w:val="left"/>
      </w:pPr>
      <w:r>
        <w:rPr/>
        <w:t>公司对上述离任的董事、监事在任职期间的勤勉尽责表示感谢。</w:t>
      </w:r>
    </w:p>
    <w:p>
      <w:pPr>
        <w:spacing w:line="240" w:lineRule="auto" w:before="9"/>
        <w:rPr>
          <w:rFonts w:ascii="宋体" w:hAnsi="宋体" w:cs="宋体" w:eastAsia="宋体" w:hint="default"/>
          <w:sz w:val="26"/>
          <w:szCs w:val="26"/>
        </w:rPr>
      </w:pPr>
    </w:p>
    <w:p>
      <w:pPr>
        <w:pStyle w:val="BodyText"/>
        <w:spacing w:line="240" w:lineRule="auto" w:before="0"/>
        <w:ind w:left="813" w:right="1174"/>
        <w:jc w:val="left"/>
      </w:pPr>
      <w:r>
        <w:rPr/>
        <w:t>三、公司董事、监事、高级管理人员任职情况</w:t>
      </w:r>
    </w:p>
    <w:p>
      <w:pPr>
        <w:pStyle w:val="BodyText"/>
        <w:spacing w:line="240" w:lineRule="auto" w:before="68"/>
        <w:ind w:left="813" w:right="1174"/>
        <w:jc w:val="left"/>
      </w:pPr>
      <w:r>
        <w:rPr/>
        <w:t>(一)</w:t>
      </w:r>
      <w:r>
        <w:rPr>
          <w:spacing w:val="-5"/>
        </w:rPr>
        <w:t> </w:t>
      </w:r>
      <w:r>
        <w:rPr/>
        <w:t>公司现任高层人员的专业背景、主要工作经历及目前在公司的主要职责</w:t>
      </w:r>
    </w:p>
    <w:p>
      <w:pPr>
        <w:spacing w:line="240" w:lineRule="auto" w:before="12"/>
        <w:rPr>
          <w:rFonts w:ascii="宋体" w:hAnsi="宋体" w:cs="宋体" w:eastAsia="宋体" w:hint="default"/>
          <w:sz w:val="14"/>
          <w:szCs w:val="14"/>
        </w:rPr>
      </w:pPr>
    </w:p>
    <w:p>
      <w:pPr>
        <w:pStyle w:val="BodyText"/>
        <w:spacing w:line="271" w:lineRule="auto" w:before="0"/>
        <w:ind w:left="393" w:right="342" w:firstLine="420"/>
        <w:jc w:val="left"/>
      </w:pPr>
      <w:r>
        <w:rPr>
          <w:spacing w:val="-6"/>
        </w:rPr>
        <w:t>1、吴鹰董事长，电子工程硕士，博士，曾任 </w:t>
      </w:r>
      <w:r>
        <w:rPr/>
        <w:t>UT</w:t>
      </w:r>
      <w:r>
        <w:rPr>
          <w:spacing w:val="-40"/>
        </w:rPr>
        <w:t> </w:t>
      </w:r>
      <w:r>
        <w:rPr>
          <w:spacing w:val="-4"/>
        </w:rPr>
        <w:t>斯达康（中国）有限公司董事长兼首席执行官，</w:t>
      </w:r>
      <w:r>
        <w:rPr>
          <w:w w:val="100"/>
        </w:rPr>
        <w:t> </w:t>
      </w:r>
      <w:r>
        <w:rPr/>
        <w:t>现任北京中泽启天投资中心(有限合伙)执行事务合伙人，中泽嘉盟投资有限公司董事长，北京博升</w:t>
      </w:r>
      <w:r>
        <w:rPr>
          <w:w w:val="100"/>
        </w:rPr>
        <w:t> </w:t>
      </w:r>
      <w:r>
        <w:rPr/>
        <w:t>优势科技发展有限公司董事长，青岛海联金汇股份有限公司(002537)董事，本公司第一大股东孝昌</w:t>
      </w:r>
      <w:r>
        <w:rPr>
          <w:w w:val="100"/>
        </w:rPr>
        <w:t> </w:t>
      </w:r>
      <w:r>
        <w:rPr/>
        <w:t>鹰溪谷投资中心(有限合伙)的负责人，兼任本公司第七届董事会董事长，主要职责：包括推动公司</w:t>
      </w:r>
      <w:r>
        <w:rPr>
          <w:w w:val="100"/>
        </w:rPr>
        <w:t> </w:t>
      </w:r>
      <w:r>
        <w:rPr/>
        <w:t>内部各项制度的制订和完善，加强董事会建设，确保董事会工作依法正常开展，依法召集、主持董</w:t>
      </w:r>
      <w:r>
        <w:rPr>
          <w:w w:val="100"/>
        </w:rPr>
        <w:t> </w:t>
      </w:r>
      <w:r>
        <w:rPr/>
        <w:t>事会会议并督促董事亲自出席董事会会议，及时将应当由董事会审议的事项提交董事会审议，督促</w:t>
      </w:r>
      <w:r>
        <w:rPr>
          <w:w w:val="100"/>
        </w:rPr>
        <w:t> </w:t>
      </w:r>
      <w:r>
        <w:rPr/>
        <w:t>董事会决议的执行，定期向公司总裁和其他高级管理人员了解董事会决议的执行情况，敦促董事会</w:t>
      </w:r>
      <w:r>
        <w:rPr>
          <w:w w:val="100"/>
        </w:rPr>
        <w:t> </w:t>
      </w:r>
      <w:r>
        <w:rPr/>
        <w:t>秘书及时履行信息披露义务。还包括下列董事职责。</w:t>
      </w:r>
    </w:p>
    <w:p>
      <w:pPr>
        <w:pStyle w:val="BodyText"/>
        <w:spacing w:line="300" w:lineRule="auto" w:before="165"/>
        <w:ind w:left="813" w:right="342"/>
        <w:jc w:val="left"/>
      </w:pPr>
      <w:r>
        <w:rPr/>
        <w:t>2、独立董事</w:t>
      </w:r>
      <w:r>
        <w:rPr>
          <w:w w:val="100"/>
        </w:rPr>
        <w:t> </w:t>
      </w:r>
      <w:r>
        <w:rPr>
          <w:spacing w:val="-2"/>
        </w:rPr>
        <w:t>刘宁，国际经济法硕士，民盟盟员，所在单位北京公元博景泓律师事务所，曾经任职天津东方</w:t>
      </w:r>
    </w:p>
    <w:p>
      <w:pPr>
        <w:pStyle w:val="BodyText"/>
        <w:spacing w:line="260" w:lineRule="exact" w:before="0"/>
        <w:ind w:left="393" w:right="342"/>
        <w:jc w:val="left"/>
      </w:pPr>
      <w:r>
        <w:rPr/>
        <w:t>律师事务所律师、主任，北京市公元律师事务所高级合伙人、律师，华润双鹤(600062)独立董事，</w:t>
      </w:r>
    </w:p>
    <w:p>
      <w:pPr>
        <w:pStyle w:val="BodyText"/>
        <w:spacing w:line="273" w:lineRule="auto" w:before="37"/>
        <w:ind w:left="393" w:right="342"/>
        <w:jc w:val="left"/>
      </w:pPr>
      <w:r>
        <w:rPr>
          <w:spacing w:val="-2"/>
        </w:rPr>
        <w:t>本公司第六届董事会独立董事；现任职北京公元博景泓律师事务所主任，兼任本公司第七届董事会</w:t>
      </w:r>
      <w:r>
        <w:rPr>
          <w:spacing w:val="-46"/>
        </w:rPr>
        <w:t> </w:t>
      </w:r>
      <w:r>
        <w:rPr>
          <w:spacing w:val="-46"/>
        </w:rPr>
      </w:r>
      <w:r>
        <w:rPr/>
        <w:t>独立董事，香港上市公司北京京城机电股份有限公司(00187.HK)独立董事。</w:t>
      </w:r>
    </w:p>
    <w:p>
      <w:pPr>
        <w:pStyle w:val="BodyText"/>
        <w:spacing w:line="273" w:lineRule="auto" w:before="8"/>
        <w:ind w:left="393" w:right="450" w:firstLine="420"/>
        <w:jc w:val="both"/>
      </w:pPr>
      <w:r>
        <w:rPr>
          <w:spacing w:val="-2"/>
        </w:rPr>
        <w:t>徐小伍，工商管理硕士，高级会计师，资深中国注册会计师、税务师，工作单位北京中证天通</w:t>
      </w:r>
      <w:r>
        <w:rPr>
          <w:w w:val="100"/>
        </w:rPr>
        <w:t> </w:t>
      </w:r>
      <w:r>
        <w:rPr>
          <w:spacing w:val="-2"/>
        </w:rPr>
        <w:t>会计师事务所深圳分所，曾在安徽省潜山县财政局工作，曾任深圳一飞会计师事务所审计经理，深</w:t>
      </w:r>
      <w:r>
        <w:rPr>
          <w:spacing w:val="-46"/>
        </w:rPr>
        <w:t> </w:t>
      </w:r>
      <w:r>
        <w:rPr>
          <w:spacing w:val="-46"/>
        </w:rPr>
      </w:r>
      <w:r>
        <w:rPr>
          <w:spacing w:val="-2"/>
        </w:rPr>
        <w:t>圳华鹏会计师事务所高级经理，深圳鹏城会计师事务所高级经理，深圳国浩会计师事务所执行合伙</w:t>
      </w:r>
      <w:r>
        <w:rPr>
          <w:spacing w:val="-47"/>
        </w:rPr>
        <w:t> </w:t>
      </w:r>
      <w:r>
        <w:rPr>
          <w:spacing w:val="-47"/>
        </w:rPr>
      </w:r>
      <w:r>
        <w:rPr>
          <w:spacing w:val="-2"/>
        </w:rPr>
        <w:t>人，中审亚太会计师事务所深圳分所副所长，深圳国浩会计师事务所高级顾问，广东省注册会计师</w:t>
      </w:r>
      <w:r>
        <w:rPr>
          <w:spacing w:val="-47"/>
        </w:rPr>
        <w:t> </w:t>
      </w:r>
      <w:r>
        <w:rPr>
          <w:spacing w:val="-47"/>
        </w:rPr>
      </w:r>
      <w:r>
        <w:rPr>
          <w:spacing w:val="-2"/>
        </w:rPr>
        <w:t>协会第五届理事会理事和深圳市注册会计师协会第五届理事会理事；现任北京中证天通会计师事务</w:t>
      </w:r>
      <w:r>
        <w:rPr>
          <w:spacing w:val="-43"/>
        </w:rPr>
        <w:t> </w:t>
      </w:r>
      <w:r>
        <w:rPr>
          <w:spacing w:val="-43"/>
        </w:rPr>
      </w:r>
      <w:r>
        <w:rPr>
          <w:spacing w:val="-2"/>
        </w:rPr>
        <w:t>所深圳分所副所长，兼任本公司第七届董事会独立董事、广东星徽精密制造股份有限公司(300464)</w:t>
      </w:r>
      <w:r>
        <w:rPr>
          <w:spacing w:val="-39"/>
        </w:rPr>
        <w:t> </w:t>
      </w:r>
      <w:r>
        <w:rPr>
          <w:spacing w:val="-39"/>
        </w:rPr>
      </w:r>
      <w:r>
        <w:rPr/>
        <w:t>独立董事、深圳市有方科技股份有限公司(835770)独立董事。</w:t>
      </w:r>
    </w:p>
    <w:p>
      <w:pPr>
        <w:pStyle w:val="BodyText"/>
        <w:spacing w:line="237" w:lineRule="auto" w:before="0"/>
        <w:ind w:left="393" w:right="450" w:firstLine="420"/>
        <w:jc w:val="both"/>
      </w:pPr>
      <w:r>
        <w:rPr>
          <w:spacing w:val="-2"/>
          <w:w w:val="100"/>
        </w:rPr>
        <w:t>张天福，工商管理学硕士，中国注册会计师，所在单位瑞华会计师事务所（特殊普通合伙）。</w:t>
      </w:r>
      <w:r>
        <w:rPr>
          <w:w w:val="100"/>
        </w:rPr>
        <w:t> </w:t>
      </w:r>
      <w:r>
        <w:rPr>
          <w:spacing w:val="-2"/>
        </w:rPr>
        <w:t>曾在审计署驻交通部审计局工作，曾任岳华会计师事务所有限公司高级合伙人，中瑞岳华会计师事</w:t>
      </w:r>
      <w:r>
        <w:rPr>
          <w:spacing w:val="-42"/>
        </w:rPr>
        <w:t> </w:t>
      </w:r>
      <w:r>
        <w:rPr>
          <w:spacing w:val="-42"/>
        </w:rPr>
      </w:r>
      <w:r>
        <w:rPr>
          <w:spacing w:val="-2"/>
        </w:rPr>
        <w:t>务所有限公司高级合伙人，中瑞岳华会计师事务所（特殊普通合伙）高级合伙人和浙江闰土股份有</w:t>
      </w:r>
      <w:r>
        <w:rPr>
          <w:spacing w:val="-46"/>
        </w:rPr>
        <w:t> </w:t>
      </w:r>
      <w:r>
        <w:rPr>
          <w:spacing w:val="-46"/>
        </w:rPr>
      </w:r>
      <w:r>
        <w:rPr>
          <w:spacing w:val="-2"/>
          <w:w w:val="100"/>
        </w:rPr>
        <w:t>限公司（002440）、博敏电子股份有限公司(603936)独立董事；现任瑞华会计师事务所（特殊普通</w:t>
      </w:r>
      <w:r>
        <w:rPr>
          <w:spacing w:val="-80"/>
          <w:w w:val="100"/>
        </w:rPr>
        <w:t> </w:t>
      </w:r>
      <w:r>
        <w:rPr>
          <w:spacing w:val="-80"/>
          <w:w w:val="100"/>
        </w:rPr>
      </w:r>
      <w:r>
        <w:rPr>
          <w:spacing w:val="-2"/>
        </w:rPr>
        <w:t>合伙）合伙人、合伙人管理委员会委员，兼任本公司第七届董事会独立董事、豪尔赛科技集团股份</w:t>
      </w:r>
      <w:r>
        <w:rPr>
          <w:spacing w:val="-45"/>
        </w:rPr>
        <w:t> </w:t>
      </w:r>
      <w:r>
        <w:rPr>
          <w:spacing w:val="-45"/>
        </w:rPr>
      </w:r>
      <w:r>
        <w:rPr/>
        <w:t>有限公司独立董事、岳华会计师事务所有限责任公司董事。</w:t>
      </w:r>
    </w:p>
    <w:p>
      <w:pPr>
        <w:pStyle w:val="BodyText"/>
        <w:spacing w:line="237" w:lineRule="auto" w:before="0"/>
        <w:ind w:left="393" w:right="342" w:firstLine="420"/>
        <w:jc w:val="left"/>
      </w:pPr>
      <w:r>
        <w:rPr/>
        <w:t>独立董事的主要职责：在不受上市公司主要股东、实际控制人或者其他与公司存在利害关系的</w:t>
      </w:r>
      <w:r>
        <w:rPr>
          <w:w w:val="100"/>
        </w:rPr>
        <w:t> </w:t>
      </w:r>
      <w:r>
        <w:rPr>
          <w:spacing w:val="-5"/>
        </w:rPr>
        <w:t>单位和个人的影响下，独立公正地行使特别职权，对公司重大事项发表独立意见，主动到现场了解、</w:t>
      </w:r>
      <w:r>
        <w:rPr>
          <w:spacing w:val="-14"/>
        </w:rPr>
        <w:t> </w:t>
      </w:r>
      <w:r>
        <w:rPr>
          <w:spacing w:val="-14"/>
        </w:rPr>
      </w:r>
      <w:r>
        <w:rPr/>
        <w:t>检查经营、管理、内控情况，向证监会及其派出机构、深交所报告公司违法违规事项，遵守自己的</w:t>
      </w:r>
    </w:p>
    <w:p>
      <w:pPr>
        <w:spacing w:after="0" w:line="237" w:lineRule="auto"/>
        <w:jc w:val="left"/>
        <w:sectPr>
          <w:pgSz w:w="11910" w:h="16840"/>
          <w:pgMar w:header="884" w:footer="1000" w:top="1140" w:bottom="1200" w:left="1080" w:right="960"/>
        </w:sectPr>
      </w:pPr>
    </w:p>
    <w:p>
      <w:pPr>
        <w:pStyle w:val="BodyText"/>
        <w:spacing w:line="240" w:lineRule="auto" w:before="110"/>
        <w:ind w:left="153" w:right="46"/>
        <w:jc w:val="left"/>
      </w:pPr>
      <w:r>
        <w:rPr>
          <w:spacing w:val="-2"/>
        </w:rPr>
        <w:t>声明及承诺，切实维护上市公司和全体股东的利益，保护中小股东的合法权益。还包括下列董事职</w:t>
      </w:r>
      <w:r>
        <w:rPr>
          <w:spacing w:val="-46"/>
        </w:rPr>
        <w:t> </w:t>
      </w:r>
      <w:r>
        <w:rPr>
          <w:spacing w:val="-46"/>
        </w:rPr>
      </w:r>
      <w:r>
        <w:rPr/>
        <w:t>责。</w:t>
      </w:r>
    </w:p>
    <w:p>
      <w:pPr>
        <w:pStyle w:val="BodyText"/>
        <w:spacing w:line="256" w:lineRule="auto" w:before="152"/>
        <w:ind w:right="46"/>
        <w:jc w:val="left"/>
      </w:pPr>
      <w:r>
        <w:rPr/>
        <w:t>3、董事</w:t>
      </w:r>
      <w:r>
        <w:rPr>
          <w:w w:val="100"/>
        </w:rPr>
        <w:t> </w:t>
      </w:r>
      <w:r>
        <w:rPr>
          <w:spacing w:val="-2"/>
        </w:rPr>
        <w:t>费自力，本科，中共党员，会计师，高级职业经理人，曾任</w:t>
      </w:r>
      <w:r>
        <w:rPr>
          <w:color w:val="222222"/>
          <w:spacing w:val="-2"/>
        </w:rPr>
        <w:t>秦皇岛华联康保公司会计科科长，</w:t>
      </w:r>
      <w:r>
        <w:rPr>
          <w:spacing w:val="-2"/>
        </w:rPr>
      </w:r>
    </w:p>
    <w:p>
      <w:pPr>
        <w:pStyle w:val="BodyText"/>
        <w:spacing w:line="273" w:lineRule="auto" w:before="22"/>
        <w:ind w:left="153" w:right="46"/>
        <w:jc w:val="left"/>
      </w:pPr>
      <w:r>
        <w:rPr>
          <w:color w:val="222222"/>
          <w:spacing w:val="-5"/>
        </w:rPr>
        <w:t>秦皇岛天华大酒店财务部经理、副总经理、总经理，本公司百货门店华联商场总经理、党支部书记，</w:t>
      </w:r>
      <w:r>
        <w:rPr>
          <w:color w:val="222222"/>
          <w:spacing w:val="-11"/>
        </w:rPr>
        <w:t> </w:t>
      </w:r>
      <w:r>
        <w:rPr>
          <w:color w:val="222222"/>
          <w:spacing w:val="-11"/>
        </w:rPr>
      </w:r>
      <w:r>
        <w:rPr/>
        <w:t>公司第四、五、六届董事会董事，公司副总裁、总裁；现任茂业控股总裁，兼任公司第七届董事会</w:t>
      </w:r>
      <w:r>
        <w:rPr>
          <w:w w:val="100"/>
        </w:rPr>
        <w:t> </w:t>
      </w:r>
      <w:r>
        <w:rPr/>
        <w:t>董事。</w:t>
      </w:r>
    </w:p>
    <w:p>
      <w:pPr>
        <w:pStyle w:val="BodyText"/>
        <w:spacing w:line="273" w:lineRule="auto"/>
        <w:ind w:left="153" w:right="212" w:firstLine="420"/>
        <w:jc w:val="both"/>
      </w:pPr>
      <w:r>
        <w:rPr>
          <w:spacing w:val="-2"/>
        </w:rPr>
        <w:t>卢小娟，工商管理硕士，曾任茂业国际(00848.HK)审计监察部总经理、合同管理中心总经理兼</w:t>
      </w:r>
      <w:r>
        <w:rPr>
          <w:w w:val="100"/>
        </w:rPr>
        <w:t> </w:t>
      </w:r>
      <w:r>
        <w:rPr>
          <w:spacing w:val="-2"/>
        </w:rPr>
        <w:t>办公室主任、财务管理中心副总经理，公司第五、六届监事会监事；现任茂业国际(00848.HK)财务</w:t>
      </w:r>
      <w:r>
        <w:rPr>
          <w:spacing w:val="-36"/>
        </w:rPr>
        <w:t> </w:t>
      </w:r>
      <w:r>
        <w:rPr>
          <w:spacing w:val="-36"/>
        </w:rPr>
      </w:r>
      <w:r>
        <w:rPr/>
        <w:t>中心总经理，兼任本公司第七届董事会董事，茂业商业(600828)董事。</w:t>
      </w:r>
    </w:p>
    <w:p>
      <w:pPr>
        <w:pStyle w:val="BodyText"/>
        <w:spacing w:line="273" w:lineRule="auto"/>
        <w:ind w:left="153" w:right="46" w:firstLine="420"/>
        <w:jc w:val="left"/>
      </w:pPr>
      <w:r>
        <w:rPr>
          <w:spacing w:val="-2"/>
        </w:rPr>
        <w:t>柳攀，通信博士，曾任美国博通公司系统架构科学家，现为北京中泽嘉盟投资中心(有限合伙)</w:t>
      </w:r>
      <w:r>
        <w:rPr>
          <w:w w:val="100"/>
        </w:rPr>
        <w:t> </w:t>
      </w:r>
      <w:r>
        <w:rPr/>
        <w:t>合伙人，兼任本公司第七届董事会董事。</w:t>
      </w:r>
    </w:p>
    <w:p>
      <w:pPr>
        <w:pStyle w:val="BodyText"/>
        <w:spacing w:line="273" w:lineRule="auto"/>
        <w:ind w:left="153" w:right="210" w:firstLine="420"/>
        <w:jc w:val="both"/>
      </w:pPr>
      <w:r>
        <w:rPr/>
        <w:t>郭瀚，通信工程专业本科毕业，工程师，曾在武汉 NEC 传输系统有限公司技术部</w:t>
      </w:r>
      <w:r>
        <w:rPr>
          <w:spacing w:val="-24"/>
        </w:rPr>
        <w:t> </w:t>
      </w:r>
      <w:r>
        <w:rPr/>
        <w:t>、西门子南</w:t>
      </w:r>
      <w:r>
        <w:rPr>
          <w:w w:val="100"/>
        </w:rPr>
        <w:t> </w:t>
      </w:r>
      <w:r>
        <w:rPr/>
        <w:t>方传输系统有限公司市场部工作，曾任 UT</w:t>
      </w:r>
      <w:r>
        <w:rPr>
          <w:spacing w:val="-26"/>
        </w:rPr>
        <w:t> </w:t>
      </w:r>
      <w:r>
        <w:rPr/>
        <w:t>斯达康杭州通信有限公司部门经理、副总经理、博升优</w:t>
      </w:r>
      <w:r>
        <w:rPr>
          <w:w w:val="100"/>
        </w:rPr>
        <w:t> </w:t>
      </w:r>
      <w:r>
        <w:rPr/>
        <w:t>势产品总监；现任创世漫道副总经理、本公司第七届董事会董事。</w:t>
      </w:r>
    </w:p>
    <w:p>
      <w:pPr>
        <w:pStyle w:val="BodyText"/>
        <w:spacing w:line="273" w:lineRule="auto"/>
        <w:ind w:left="153" w:right="46" w:firstLine="420"/>
        <w:jc w:val="left"/>
      </w:pPr>
      <w:r>
        <w:rPr>
          <w:spacing w:val="-2"/>
        </w:rPr>
        <w:t>朱文平，工科硕士，曾任天使投资人，现任广东天使会副秘书长，深圳湾海投资管理有限公司</w:t>
      </w:r>
      <w:r>
        <w:rPr>
          <w:w w:val="100"/>
        </w:rPr>
        <w:t> </w:t>
      </w:r>
      <w:r>
        <w:rPr/>
        <w:t>CEO(首席执行官)，深圳通泰达投资中心(有限合伙)的委派代表、本公司第七届董事会董事。</w:t>
      </w:r>
    </w:p>
    <w:p>
      <w:pPr>
        <w:pStyle w:val="BodyText"/>
        <w:spacing w:line="273" w:lineRule="auto" w:before="8"/>
        <w:ind w:left="153" w:right="46" w:firstLine="420"/>
        <w:jc w:val="left"/>
      </w:pPr>
      <w:r>
        <w:rPr>
          <w:spacing w:val="-5"/>
        </w:rPr>
        <w:t>董事的主要职责包括对董事会所议事项表示明确的个人意见，对所议事项有疑问的，主动调查，</w:t>
      </w:r>
      <w:r>
        <w:rPr>
          <w:w w:val="100"/>
        </w:rPr>
        <w:t> </w:t>
      </w:r>
      <w:r>
        <w:rPr/>
        <w:t>依法合规行事，遵守自己的声明及承诺，履行对上市公司的忠实、勤勉义务。</w:t>
      </w:r>
    </w:p>
    <w:p>
      <w:pPr>
        <w:pStyle w:val="BodyText"/>
        <w:spacing w:line="273" w:lineRule="auto" w:before="164"/>
        <w:ind w:right="46"/>
        <w:jc w:val="left"/>
      </w:pPr>
      <w:r>
        <w:rPr/>
        <w:t>4、监事</w:t>
      </w:r>
      <w:r>
        <w:rPr>
          <w:w w:val="100"/>
        </w:rPr>
        <w:t> </w:t>
      </w:r>
      <w:r>
        <w:rPr>
          <w:spacing w:val="-5"/>
        </w:rPr>
        <w:t>刘宏，大学本科，高级经济师，会计师，中共党员，曾任公司财务负责人(财务总监)、副总裁、</w:t>
      </w:r>
    </w:p>
    <w:p>
      <w:pPr>
        <w:pStyle w:val="BodyText"/>
        <w:spacing w:line="273" w:lineRule="auto"/>
        <w:ind w:left="153" w:right="46"/>
        <w:jc w:val="left"/>
      </w:pPr>
      <w:r>
        <w:rPr/>
        <w:t>总裁，公司第一、二、三、四、五、六、七届董事会董事，公司第六、第七届董事会董事长，秦皇</w:t>
      </w:r>
      <w:r>
        <w:rPr>
          <w:w w:val="100"/>
        </w:rPr>
        <w:t> </w:t>
      </w:r>
      <w:r>
        <w:rPr>
          <w:spacing w:val="-5"/>
        </w:rPr>
        <w:t>岛市第十一届、第十二届人大代表，茂业控股的董事长、法人代表；现任本公司第七届监事会主席、</w:t>
      </w:r>
      <w:r>
        <w:rPr>
          <w:spacing w:val="-15"/>
        </w:rPr>
        <w:t> </w:t>
      </w:r>
      <w:r>
        <w:rPr>
          <w:spacing w:val="-15"/>
        </w:rPr>
      </w:r>
      <w:r>
        <w:rPr/>
        <w:t>党委书记。</w:t>
      </w:r>
    </w:p>
    <w:p>
      <w:pPr>
        <w:pStyle w:val="BodyText"/>
        <w:spacing w:line="273" w:lineRule="auto"/>
        <w:ind w:left="153" w:right="46" w:firstLine="420"/>
        <w:jc w:val="left"/>
      </w:pPr>
      <w:r>
        <w:rPr/>
        <w:t>毛琳娜，大学本科，中共党员，经济师，历任秦皇岛市轧钢厂技术员、助理工程师、团总支书</w:t>
      </w:r>
      <w:r>
        <w:rPr>
          <w:w w:val="100"/>
        </w:rPr>
        <w:t> </w:t>
      </w:r>
      <w:r>
        <w:rPr>
          <w:spacing w:val="-5"/>
        </w:rPr>
        <w:t>记、全面质量管理办公室主任、企业管理办公室主任、厂办公室主任、公关部经理、党总支副书记、</w:t>
      </w:r>
      <w:r>
        <w:rPr>
          <w:spacing w:val="-20"/>
        </w:rPr>
        <w:t> </w:t>
      </w:r>
      <w:r>
        <w:rPr>
          <w:spacing w:val="-20"/>
        </w:rPr>
      </w:r>
      <w:r>
        <w:rPr/>
        <w:t>经营副厂长，秦皇岛市异型轧钢厂厂长、党总支书记，秦皇岛市机电重工工业公司办公室主任，秦</w:t>
      </w:r>
      <w:r>
        <w:rPr>
          <w:w w:val="100"/>
        </w:rPr>
        <w:t> </w:t>
      </w:r>
      <w:r>
        <w:rPr/>
        <w:t>皇岛市工业公司工业促进办主任，公司第六届监事会监事等职务。现任秦皇岛市国有资产经营控股</w:t>
      </w:r>
      <w:r>
        <w:rPr>
          <w:w w:val="100"/>
        </w:rPr>
        <w:t> </w:t>
      </w:r>
      <w:r>
        <w:rPr/>
        <w:t>有限公司副总经理，兼任公司第七届监事会监事。</w:t>
      </w:r>
    </w:p>
    <w:p>
      <w:pPr>
        <w:pStyle w:val="BodyText"/>
        <w:spacing w:line="273" w:lineRule="auto" w:before="8"/>
        <w:ind w:left="153" w:right="46" w:firstLine="420"/>
        <w:jc w:val="left"/>
      </w:pPr>
      <w:r>
        <w:rPr>
          <w:spacing w:val="-5"/>
        </w:rPr>
        <w:t>谢海燕，本科学历，经济学学士，国际注册内审师，高级会计师，曾在北京惠华电子工程公司、</w:t>
      </w:r>
      <w:r>
        <w:rPr>
          <w:w w:val="100"/>
        </w:rPr>
        <w:t> </w:t>
      </w:r>
      <w:r>
        <w:rPr/>
        <w:t>北京中彩印制有限公司、北京惠典电子资讯有限公司工作，曾任北京中核华辉科技发展有限公司财</w:t>
      </w:r>
      <w:r>
        <w:rPr>
          <w:w w:val="100"/>
        </w:rPr>
        <w:t> </w:t>
      </w:r>
      <w:r>
        <w:rPr/>
        <w:t>务经理，宽广视界科技（北京）有限公司财务负责人；现任博升优势高级财务经理，兼任公司第七</w:t>
      </w:r>
      <w:r>
        <w:rPr>
          <w:w w:val="100"/>
        </w:rPr>
        <w:t> </w:t>
      </w:r>
      <w:r>
        <w:rPr/>
        <w:t>届监事会监事。</w:t>
      </w:r>
    </w:p>
    <w:p>
      <w:pPr>
        <w:pStyle w:val="BodyText"/>
        <w:spacing w:line="273" w:lineRule="auto" w:before="8"/>
        <w:ind w:left="153" w:right="212" w:firstLine="420"/>
        <w:jc w:val="both"/>
      </w:pPr>
      <w:r>
        <w:rPr>
          <w:spacing w:val="-2"/>
        </w:rPr>
        <w:t>吕晓清，本科学历，曾任黑龙江正业建设有限公司经营计划部经理、深圳茂业(集团)股份有限</w:t>
      </w:r>
      <w:r>
        <w:rPr>
          <w:w w:val="100"/>
        </w:rPr>
        <w:t> </w:t>
      </w:r>
      <w:r>
        <w:rPr>
          <w:spacing w:val="-2"/>
        </w:rPr>
        <w:t>公司办公室主任、深圳茂业商厦有限公司行政合约服务中心主任、茂业(深圳)房地产开发有限公司</w:t>
      </w:r>
      <w:r>
        <w:rPr>
          <w:spacing w:val="-45"/>
        </w:rPr>
        <w:t> </w:t>
      </w:r>
      <w:r>
        <w:rPr>
          <w:spacing w:val="-45"/>
        </w:rPr>
      </w:r>
      <w:r>
        <w:rPr>
          <w:spacing w:val="-2"/>
        </w:rPr>
        <w:t>副总经理；现任深圳茂业(集团)股份有限公司总裁助理、兼任本公司第七届监事会监事、茂业商业</w:t>
      </w:r>
      <w:r>
        <w:rPr>
          <w:spacing w:val="-48"/>
        </w:rPr>
        <w:t> </w:t>
      </w:r>
      <w:r>
        <w:rPr>
          <w:spacing w:val="-48"/>
        </w:rPr>
      </w:r>
      <w:r>
        <w:rPr/>
        <w:t>(600828)监事。</w:t>
      </w:r>
    </w:p>
    <w:p>
      <w:pPr>
        <w:pStyle w:val="BodyText"/>
        <w:spacing w:line="273" w:lineRule="auto"/>
        <w:ind w:left="153" w:right="46" w:firstLine="420"/>
        <w:jc w:val="left"/>
      </w:pPr>
      <w:r>
        <w:rPr>
          <w:spacing w:val="-5"/>
        </w:rPr>
        <w:t>张海英，本科学历，中共党员，曾在秦皇岛商城股份有限公司筹备委员会、秦皇岛商城办公室、</w:t>
      </w:r>
      <w:r>
        <w:rPr>
          <w:w w:val="100"/>
        </w:rPr>
        <w:t> </w:t>
      </w:r>
      <w:r>
        <w:rPr/>
        <w:t>华联商城股份有限公司合并上市筹委会工作，曾任公司证券事务主管，现任公司证券事务代表、证</w:t>
      </w:r>
      <w:r>
        <w:rPr>
          <w:w w:val="100"/>
        </w:rPr>
        <w:t> </w:t>
      </w:r>
      <w:r>
        <w:rPr/>
        <w:t>券部经理，公司第七届监事会职工监事。</w:t>
      </w:r>
    </w:p>
    <w:p>
      <w:pPr>
        <w:pStyle w:val="BodyText"/>
        <w:spacing w:line="273" w:lineRule="auto" w:before="8"/>
        <w:ind w:left="153" w:right="46" w:firstLine="420"/>
        <w:jc w:val="left"/>
      </w:pPr>
      <w:r>
        <w:rPr>
          <w:spacing w:val="-2"/>
        </w:rPr>
        <w:t>监事的主要职责包括对公司董事、高级管理人员遵守有关法律、行政法规、部门规章、规范性</w:t>
      </w:r>
      <w:r>
        <w:rPr>
          <w:w w:val="100"/>
        </w:rPr>
        <w:t> </w:t>
      </w:r>
      <w:r>
        <w:rPr/>
        <w:t>文件和公司章程以及执行公司职务的行为进行监督，对董事会所议事项进行监督。</w:t>
      </w:r>
    </w:p>
    <w:p>
      <w:pPr>
        <w:pStyle w:val="BodyText"/>
        <w:spacing w:line="240" w:lineRule="auto" w:before="164"/>
        <w:ind w:right="46"/>
        <w:jc w:val="left"/>
      </w:pPr>
      <w:r>
        <w:rPr/>
        <w:t>5、高级管理人员</w:t>
      </w:r>
    </w:p>
    <w:p>
      <w:pPr>
        <w:pStyle w:val="BodyText"/>
        <w:spacing w:line="240" w:lineRule="auto" w:before="37"/>
        <w:ind w:right="46"/>
        <w:jc w:val="left"/>
      </w:pPr>
      <w:r>
        <w:rPr>
          <w:spacing w:val="-4"/>
        </w:rPr>
        <w:t>林明，大学本科，1993</w:t>
      </w:r>
      <w:r>
        <w:rPr>
          <w:spacing w:val="10"/>
        </w:rPr>
        <w:t> </w:t>
      </w:r>
      <w:r>
        <w:rPr>
          <w:spacing w:val="-3"/>
        </w:rPr>
        <w:t>年毕业于北京理工大学管理学院，曾任广东省惠州市邮电局工程师、广</w:t>
      </w:r>
    </w:p>
    <w:p>
      <w:pPr>
        <w:spacing w:after="0" w:line="240" w:lineRule="auto"/>
        <w:jc w:val="left"/>
        <w:sectPr>
          <w:pgSz w:w="11910" w:h="16840"/>
          <w:pgMar w:header="884" w:footer="1000" w:top="1140" w:bottom="1200" w:left="1320" w:right="1200"/>
        </w:sectPr>
      </w:pPr>
    </w:p>
    <w:p>
      <w:pPr>
        <w:pStyle w:val="BodyText"/>
        <w:spacing w:line="273" w:lineRule="auto" w:before="131"/>
        <w:ind w:left="393" w:right="450"/>
        <w:jc w:val="both"/>
      </w:pPr>
      <w:r>
        <w:rPr/>
        <w:t>东 UT</w:t>
      </w:r>
      <w:r>
        <w:rPr>
          <w:spacing w:val="-22"/>
        </w:rPr>
        <w:t> </w:t>
      </w:r>
      <w:r>
        <w:rPr/>
        <w:t>斯达康通讯有限公司销售部经理、广东阿哈媒体服务有限公司副总裁、宽广视界科技(北京)</w:t>
      </w:r>
      <w:r>
        <w:rPr>
          <w:w w:val="100"/>
        </w:rPr>
        <w:t> </w:t>
      </w:r>
      <w:r>
        <w:rPr>
          <w:spacing w:val="-2"/>
        </w:rPr>
        <w:t>有限公司副总裁、北京博升优势行政人事总监。报告期任本公司副总裁、期后任公司总裁，全资子</w:t>
      </w:r>
      <w:r>
        <w:rPr>
          <w:spacing w:val="-46"/>
        </w:rPr>
        <w:t> </w:t>
      </w:r>
      <w:r>
        <w:rPr>
          <w:spacing w:val="-46"/>
        </w:rPr>
      </w:r>
      <w:r>
        <w:rPr>
          <w:spacing w:val="-2"/>
        </w:rPr>
        <w:t>公司创世漫道总经理，主要职责包括主持公司生产经营管理工作、组织实施董事会决议、向董事会</w:t>
      </w:r>
      <w:r>
        <w:rPr>
          <w:spacing w:val="-46"/>
        </w:rPr>
        <w:t> </w:t>
      </w:r>
      <w:r>
        <w:rPr>
          <w:spacing w:val="-46"/>
        </w:rPr>
      </w:r>
      <w:r>
        <w:rPr>
          <w:spacing w:val="-2"/>
        </w:rPr>
        <w:t>报告工作，组织实施公司年度经营计划和投资方案，拟订公司内部管理机构设置方案、公司的基本</w:t>
      </w:r>
      <w:r>
        <w:rPr>
          <w:spacing w:val="-46"/>
        </w:rPr>
        <w:t> </w:t>
      </w:r>
      <w:r>
        <w:rPr>
          <w:spacing w:val="-46"/>
        </w:rPr>
      </w:r>
      <w:r>
        <w:rPr>
          <w:spacing w:val="-2"/>
        </w:rPr>
        <w:t>管理制度，制定公司的具体规章，提请聘任或者解聘公司副总裁、财务负责人，决定聘任或者解聘</w:t>
      </w:r>
      <w:r>
        <w:rPr>
          <w:spacing w:val="-46"/>
        </w:rPr>
        <w:t> </w:t>
      </w:r>
      <w:r>
        <w:rPr>
          <w:spacing w:val="-46"/>
        </w:rPr>
      </w:r>
      <w:r>
        <w:rPr>
          <w:spacing w:val="-2"/>
        </w:rPr>
        <w:t>除应由董事会决定聘任或者解聘以外的负责管理人员；拟订创世漫道业务规划、工作计划，负责创</w:t>
      </w:r>
      <w:r>
        <w:rPr>
          <w:spacing w:val="-43"/>
        </w:rPr>
        <w:t> </w:t>
      </w:r>
      <w:r>
        <w:rPr>
          <w:spacing w:val="-43"/>
        </w:rPr>
      </w:r>
      <w:r>
        <w:rPr/>
        <w:t>世漫道日常经营、管理和内部控制。</w:t>
      </w:r>
    </w:p>
    <w:p>
      <w:pPr>
        <w:pStyle w:val="BodyText"/>
        <w:spacing w:line="273" w:lineRule="auto"/>
        <w:ind w:left="393" w:right="450" w:firstLine="420"/>
        <w:jc w:val="both"/>
      </w:pPr>
      <w:r>
        <w:rPr>
          <w:spacing w:val="-2"/>
        </w:rPr>
        <w:t>汪强，会计学硕士，中级会计师，高级国际财务管理师，广东外语外贸大学ＭＰＡＣＣ会计硕</w:t>
      </w:r>
      <w:r>
        <w:rPr>
          <w:w w:val="100"/>
        </w:rPr>
        <w:t> </w:t>
      </w:r>
      <w:r>
        <w:rPr>
          <w:spacing w:val="-2"/>
        </w:rPr>
        <w:t>士校外实践导师。曾在华为技术有限公司从事会计工作，曾任中兴通讯股份有限公司(000063)营销</w:t>
      </w:r>
      <w:r>
        <w:rPr>
          <w:spacing w:val="-38"/>
        </w:rPr>
        <w:t> </w:t>
      </w:r>
      <w:r>
        <w:rPr>
          <w:spacing w:val="-38"/>
        </w:rPr>
      </w:r>
      <w:r>
        <w:rPr>
          <w:spacing w:val="-6"/>
        </w:rPr>
        <w:t>财务经理、子公司财务总监、欧洲及北美事业部总经理助理，高新兴科技集团股份有限公司(300098)</w:t>
      </w:r>
      <w:r>
        <w:rPr>
          <w:spacing w:val="-52"/>
        </w:rPr>
        <w:t> </w:t>
      </w:r>
      <w:r>
        <w:rPr>
          <w:spacing w:val="-52"/>
        </w:rPr>
      </w:r>
      <w:r>
        <w:rPr/>
        <w:t>财务高级经理，协同通信技术有限公司(01613HK)财务常务副总经理，现任公司财务总监，主要职</w:t>
      </w:r>
      <w:r>
        <w:rPr>
          <w:spacing w:val="-26"/>
        </w:rPr>
        <w:t> </w:t>
      </w:r>
      <w:r>
        <w:rPr>
          <w:spacing w:val="-26"/>
        </w:rPr>
      </w:r>
      <w:r>
        <w:rPr/>
        <w:t>责包括财务计划、资产安全、会计核算在内的管理控制。</w:t>
      </w:r>
    </w:p>
    <w:p>
      <w:pPr>
        <w:pStyle w:val="BodyText"/>
        <w:spacing w:line="273" w:lineRule="auto" w:before="8"/>
        <w:ind w:left="393" w:right="436" w:firstLine="420"/>
        <w:jc w:val="both"/>
      </w:pPr>
      <w:r>
        <w:rPr>
          <w:spacing w:val="-4"/>
        </w:rPr>
        <w:t>焦海青，大学本科，工程学士，讲师，10</w:t>
      </w:r>
      <w:r>
        <w:rPr>
          <w:spacing w:val="-17"/>
        </w:rPr>
        <w:t> </w:t>
      </w:r>
      <w:r>
        <w:rPr>
          <w:spacing w:val="-3"/>
        </w:rPr>
        <w:t>多年来任公司董事会秘书、副总裁，主要职责包括公</w:t>
      </w:r>
      <w:r>
        <w:rPr>
          <w:w w:val="100"/>
        </w:rPr>
        <w:t> </w:t>
      </w:r>
      <w:r>
        <w:rPr>
          <w:spacing w:val="-2"/>
        </w:rPr>
        <w:t>司股东大会和董事会会议的筹备、文件保管以及公司股东资料的管理，办理公司信息披露事务等。</w:t>
      </w:r>
    </w:p>
    <w:p>
      <w:pPr>
        <w:spacing w:line="240" w:lineRule="auto" w:before="6"/>
        <w:rPr>
          <w:rFonts w:ascii="宋体" w:hAnsi="宋体" w:cs="宋体" w:eastAsia="宋体" w:hint="default"/>
          <w:sz w:val="24"/>
          <w:szCs w:val="24"/>
        </w:rPr>
      </w:pPr>
    </w:p>
    <w:p>
      <w:pPr>
        <w:pStyle w:val="BodyText"/>
        <w:spacing w:line="240" w:lineRule="auto" w:before="0"/>
        <w:ind w:left="813" w:right="1174"/>
        <w:jc w:val="left"/>
      </w:pPr>
      <w:r>
        <w:rPr/>
        <w:t>(二)</w:t>
      </w:r>
      <w:r>
        <w:rPr>
          <w:spacing w:val="-2"/>
        </w:rPr>
        <w:t> </w:t>
      </w:r>
      <w:r>
        <w:rPr/>
        <w:t>公司现任董事、监事在股东单位任职情况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850"/>
        <w:gridCol w:w="1702"/>
        <w:gridCol w:w="1498"/>
        <w:gridCol w:w="2114"/>
        <w:gridCol w:w="1918"/>
        <w:gridCol w:w="1558"/>
      </w:tblGrid>
      <w:tr>
        <w:trPr>
          <w:trHeight w:val="47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2"/>
                <w:sz w:val="18"/>
                <w:szCs w:val="18"/>
              </w:rPr>
              <w:t> </w:t>
            </w:r>
            <w:r>
              <w:rPr>
                <w:rFonts w:ascii="宋体" w:hAnsi="宋体" w:cs="宋体" w:eastAsia="宋体" w:hint="default"/>
                <w:sz w:val="18"/>
                <w:szCs w:val="18"/>
              </w:rPr>
              <w:t>职</w:t>
            </w:r>
            <w:r>
              <w:rPr>
                <w:rFonts w:ascii="宋体" w:hAnsi="宋体" w:cs="宋体" w:eastAsia="宋体" w:hint="default"/>
                <w:spacing w:val="-42"/>
                <w:sz w:val="18"/>
                <w:szCs w:val="18"/>
              </w:rPr>
              <w:t> </w:t>
            </w:r>
            <w:r>
              <w:rPr>
                <w:rFonts w:ascii="宋体" w:hAnsi="宋体" w:cs="宋体" w:eastAsia="宋体" w:hint="default"/>
                <w:sz w:val="18"/>
                <w:szCs w:val="18"/>
              </w:rPr>
              <w:t>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员姓名</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在股东单位是否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350"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鹰</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北京中泽嘉盟投资中心(有限合伙)</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850" w:type="dxa"/>
            <w:vMerge/>
            <w:tcBorders>
              <w:left w:val="single" w:sz="4" w:space="0" w:color="000000"/>
              <w:right w:val="single" w:sz="4" w:space="0" w:color="000000"/>
            </w:tcBorders>
          </w:tcPr>
          <w:p>
            <w:pP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北京中泽启天投资中心(有限合伙)</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558" w:type="dxa"/>
            <w:vMerge/>
            <w:tcBorders>
              <w:left w:val="single" w:sz="4" w:space="0" w:color="000000"/>
              <w:right w:val="single" w:sz="4" w:space="0" w:color="000000"/>
            </w:tcBorders>
          </w:tcPr>
          <w:p>
            <w:pPr/>
          </w:p>
        </w:tc>
      </w:tr>
      <w:tr>
        <w:trPr>
          <w:trHeight w:val="348" w:hRule="exact"/>
        </w:trPr>
        <w:tc>
          <w:tcPr>
            <w:tcW w:w="850" w:type="dxa"/>
            <w:vMerge/>
            <w:tcBorders>
              <w:left w:val="single" w:sz="4" w:space="0" w:color="000000"/>
              <w:right w:val="single" w:sz="4" w:space="0" w:color="000000"/>
            </w:tcBorders>
          </w:tcPr>
          <w:p>
            <w:pP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孝昌鹰溪谷投资中心(有限合伙)</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558" w:type="dxa"/>
            <w:vMerge/>
            <w:tcBorders>
              <w:left w:val="single" w:sz="4" w:space="0" w:color="000000"/>
              <w:right w:val="single" w:sz="4" w:space="0" w:color="000000"/>
            </w:tcBorders>
          </w:tcPr>
          <w:p>
            <w:pPr/>
          </w:p>
        </w:tc>
      </w:tr>
      <w:tr>
        <w:trPr>
          <w:trHeight w:val="350" w:hRule="exact"/>
        </w:trPr>
        <w:tc>
          <w:tcPr>
            <w:tcW w:w="850" w:type="dxa"/>
            <w:vMerge/>
            <w:tcBorders>
              <w:left w:val="single" w:sz="4" w:space="0" w:color="000000"/>
              <w:bottom w:val="single" w:sz="4" w:space="0" w:color="000000"/>
              <w:right w:val="single" w:sz="4" w:space="0" w:color="000000"/>
            </w:tcBorders>
          </w:tcPr>
          <w:p>
            <w:pP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558" w:type="dxa"/>
            <w:vMerge/>
            <w:tcBorders>
              <w:left w:val="single" w:sz="4" w:space="0" w:color="000000"/>
              <w:bottom w:val="single" w:sz="4" w:space="0" w:color="000000"/>
              <w:right w:val="single" w:sz="4" w:space="0" w:color="000000"/>
            </w:tcBorders>
          </w:tcPr>
          <w:p>
            <w:pPr/>
          </w:p>
        </w:tc>
      </w:tr>
      <w:tr>
        <w:trPr>
          <w:trHeight w:val="3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秦皇岛茂业控股有限公司</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财务中心总经理</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柳 </w:t>
            </w:r>
            <w:r>
              <w:rPr>
                <w:rFonts w:ascii="宋体" w:hAnsi="宋体" w:cs="宋体" w:eastAsia="宋体" w:hint="default"/>
                <w:spacing w:val="2"/>
                <w:sz w:val="18"/>
                <w:szCs w:val="18"/>
              </w:rPr>
              <w:t> </w:t>
            </w:r>
            <w:r>
              <w:rPr>
                <w:rFonts w:ascii="宋体" w:hAnsi="宋体" w:cs="宋体" w:eastAsia="宋体" w:hint="default"/>
                <w:sz w:val="18"/>
                <w:szCs w:val="18"/>
              </w:rPr>
              <w:t>攀</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北京中泽嘉盟投资中心(有限合伙)</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毛琳娜</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秦皇岛市国有资产经营控股有限公司</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谢海燕</w:t>
            </w:r>
          </w:p>
        </w:tc>
        <w:tc>
          <w:tcPr>
            <w:tcW w:w="3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70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股东单位中上海稳实、北京中泽嘉盟、北京中泽启天是公司第一大股东鹰溪谷的间</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z w:val="18"/>
                <w:szCs w:val="18"/>
              </w:rPr>
              <w:t>接股东，茂业国际是公司第二大股东中兆投资的间接控股股东，茂业控股是公司股东中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兆投资所属企业。任期没有任职终止日期。</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813" w:right="1174"/>
        <w:jc w:val="left"/>
      </w:pPr>
      <w:r>
        <w:rPr/>
        <w:t>(三)</w:t>
      </w:r>
      <w:r>
        <w:rPr>
          <w:spacing w:val="-2"/>
        </w:rPr>
        <w:t> </w:t>
      </w:r>
      <w:r>
        <w:rPr/>
        <w:t>公司现任董事、监事在其他单位任职情况</w:t>
      </w: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850"/>
        <w:gridCol w:w="3828"/>
        <w:gridCol w:w="1277"/>
        <w:gridCol w:w="2551"/>
        <w:gridCol w:w="1133"/>
      </w:tblGrid>
      <w:tr>
        <w:trPr>
          <w:trHeight w:val="71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98"/>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2"/>
                <w:sz w:val="18"/>
                <w:szCs w:val="18"/>
              </w:rPr>
              <w:t> </w:t>
            </w:r>
            <w:r>
              <w:rPr>
                <w:rFonts w:ascii="宋体" w:hAnsi="宋体" w:cs="宋体" w:eastAsia="宋体" w:hint="default"/>
                <w:sz w:val="18"/>
                <w:szCs w:val="18"/>
              </w:rPr>
              <w:t>职</w:t>
            </w:r>
            <w:r>
              <w:rPr>
                <w:rFonts w:ascii="宋体" w:hAnsi="宋体" w:cs="宋体" w:eastAsia="宋体" w:hint="default"/>
                <w:spacing w:val="-42"/>
                <w:sz w:val="18"/>
                <w:szCs w:val="18"/>
              </w:rPr>
              <w:t> </w:t>
            </w:r>
            <w:r>
              <w:rPr>
                <w:rFonts w:ascii="宋体" w:hAnsi="宋体" w:cs="宋体" w:eastAsia="宋体" w:hint="default"/>
                <w:sz w:val="18"/>
                <w:szCs w:val="18"/>
              </w:rPr>
              <w:t>人</w:t>
            </w:r>
            <w:r>
              <w:rPr>
                <w:rFonts w:ascii="宋体" w:hAnsi="宋体" w:cs="宋体" w:eastAsia="宋体" w:hint="default"/>
                <w:sz w:val="18"/>
                <w:szCs w:val="18"/>
              </w:rPr>
              <w:t> 员姓名</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在其他单位</w:t>
            </w:r>
          </w:p>
          <w:p>
            <w:pPr>
              <w:pStyle w:val="TableParagraph"/>
              <w:spacing w:line="232" w:lineRule="exact" w:before="23"/>
              <w:ind w:left="103" w:right="117"/>
              <w:jc w:val="left"/>
              <w:rPr>
                <w:rFonts w:ascii="宋体" w:hAnsi="宋体" w:cs="宋体" w:eastAsia="宋体" w:hint="default"/>
                <w:sz w:val="18"/>
                <w:szCs w:val="18"/>
              </w:rPr>
            </w:pPr>
            <w:r>
              <w:rPr>
                <w:rFonts w:ascii="宋体" w:hAnsi="宋体" w:cs="宋体" w:eastAsia="宋体" w:hint="default"/>
                <w:sz w:val="18"/>
                <w:szCs w:val="18"/>
              </w:rPr>
              <w:t>是否领取报 酬津贴</w:t>
            </w:r>
          </w:p>
        </w:tc>
      </w:tr>
      <w:tr>
        <w:trPr>
          <w:trHeight w:val="350"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TCL</w:t>
            </w:r>
            <w:r>
              <w:rPr>
                <w:rFonts w:ascii="宋体" w:hAnsi="宋体" w:cs="宋体" w:eastAsia="宋体" w:hint="default"/>
                <w:spacing w:val="-44"/>
                <w:sz w:val="18"/>
                <w:szCs w:val="18"/>
              </w:rPr>
              <w:t> </w:t>
            </w:r>
            <w:r>
              <w:rPr>
                <w:rFonts w:ascii="宋体" w:hAnsi="宋体" w:cs="宋体" w:eastAsia="宋体" w:hint="default"/>
                <w:sz w:val="18"/>
                <w:szCs w:val="18"/>
              </w:rPr>
              <w:t>集团股份有限公司(000100)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广州达意隆包装机械股份有限公司(002209)</w:t>
            </w:r>
          </w:p>
        </w:tc>
        <w:tc>
          <w:tcPr>
            <w:tcW w:w="1277" w:type="dxa"/>
            <w:vMerge/>
            <w:tcBorders>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月起在任</w:t>
            </w:r>
          </w:p>
        </w:tc>
        <w:tc>
          <w:tcPr>
            <w:tcW w:w="1133" w:type="dxa"/>
            <w:vMerge/>
            <w:tcBorders>
              <w:left w:val="single" w:sz="4" w:space="0" w:color="000000"/>
              <w:right w:val="single" w:sz="4" w:space="0" w:color="000000"/>
            </w:tcBorders>
          </w:tcPr>
          <w:p>
            <w:pP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卓尔集团股份有限公司(2098.HK)</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42"/>
              <w:ind w:left="103" w:right="261"/>
              <w:jc w:val="left"/>
              <w:rPr>
                <w:rFonts w:ascii="宋体" w:hAnsi="宋体" w:cs="宋体" w:eastAsia="宋体" w:hint="default"/>
                <w:sz w:val="18"/>
                <w:szCs w:val="18"/>
              </w:rPr>
            </w:pPr>
            <w:r>
              <w:rPr>
                <w:rFonts w:ascii="宋体" w:hAnsi="宋体" w:cs="宋体" w:eastAsia="宋体" w:hint="default"/>
                <w:sz w:val="18"/>
                <w:szCs w:val="18"/>
              </w:rPr>
              <w:t>非执行独立 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月起在任</w:t>
            </w:r>
          </w:p>
        </w:tc>
        <w:tc>
          <w:tcPr>
            <w:tcW w:w="1133" w:type="dxa"/>
            <w:vMerge/>
            <w:tcBorders>
              <w:left w:val="single" w:sz="4" w:space="0" w:color="000000"/>
              <w:right w:val="single" w:sz="4" w:space="0" w:color="000000"/>
            </w:tcBorders>
          </w:tcPr>
          <w:p>
            <w:pP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众安在线财产保险股份有限公司(6060.HK)</w:t>
            </w:r>
          </w:p>
        </w:tc>
        <w:tc>
          <w:tcPr>
            <w:tcW w:w="1277" w:type="dxa"/>
            <w:vMerge/>
            <w:tcBorders>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月起在任</w:t>
            </w:r>
          </w:p>
        </w:tc>
        <w:tc>
          <w:tcPr>
            <w:tcW w:w="1133" w:type="dxa"/>
            <w:vMerge/>
            <w:tcBorders>
              <w:left w:val="single" w:sz="4" w:space="0" w:color="000000"/>
              <w:right w:val="single" w:sz="4" w:space="0" w:color="000000"/>
            </w:tcBorders>
          </w:tcPr>
          <w:p>
            <w:pP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九阳股份有限公司(002242)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133" w:type="dxa"/>
            <w:vMerge/>
            <w:tcBorders>
              <w:left w:val="single" w:sz="4" w:space="0" w:color="000000"/>
              <w:bottom w:val="single" w:sz="4" w:space="0" w:color="000000"/>
              <w:right w:val="single" w:sz="4" w:space="0" w:color="000000"/>
            </w:tcBorders>
          </w:tcPr>
          <w:p>
            <w:pPr/>
          </w:p>
        </w:tc>
      </w:tr>
      <w:tr>
        <w:trPr>
          <w:trHeight w:val="348"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海联金汇科技股份有限公司(002537)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月起在任</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华谊兄弟传媒股份有限公司(300027)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月起在任</w:t>
            </w:r>
          </w:p>
        </w:tc>
        <w:tc>
          <w:tcPr>
            <w:tcW w:w="1133" w:type="dxa"/>
            <w:vMerge/>
            <w:tcBorders>
              <w:left w:val="single" w:sz="4" w:space="0" w:color="000000"/>
              <w:right w:val="single" w:sz="4" w:space="0" w:color="000000"/>
            </w:tcBorders>
          </w:tcPr>
          <w:p>
            <w:pPr/>
          </w:p>
        </w:tc>
      </w:tr>
      <w:tr>
        <w:trPr>
          <w:trHeight w:val="350" w:hRule="exact"/>
        </w:trPr>
        <w:tc>
          <w:tcPr>
            <w:tcW w:w="850"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月起三年</w:t>
            </w:r>
          </w:p>
        </w:tc>
        <w:tc>
          <w:tcPr>
            <w:tcW w:w="1133" w:type="dxa"/>
            <w:vMerge/>
            <w:tcBorders>
              <w:left w:val="single" w:sz="4" w:space="0" w:color="000000"/>
              <w:bottom w:val="single" w:sz="4" w:space="0" w:color="000000"/>
              <w:right w:val="single" w:sz="4" w:space="0" w:color="000000"/>
            </w:tcBorders>
          </w:tcPr>
          <w:p>
            <w:pPr/>
          </w:p>
        </w:tc>
      </w:tr>
      <w:tr>
        <w:trPr>
          <w:trHeight w:val="3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茂业商业股份有限公司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850"/>
        <w:gridCol w:w="3828"/>
        <w:gridCol w:w="1277"/>
        <w:gridCol w:w="2551"/>
        <w:gridCol w:w="1133"/>
      </w:tblGrid>
      <w:tr>
        <w:trPr>
          <w:trHeight w:val="350"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日起在任</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吕晓清</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茂业商业股份有限公司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深圳茂业(集团)股份有限公司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月起在任</w:t>
            </w:r>
          </w:p>
        </w:tc>
        <w:tc>
          <w:tcPr>
            <w:tcW w:w="1133" w:type="dxa"/>
            <w:vMerge/>
            <w:tcBorders>
              <w:left w:val="single" w:sz="4" w:space="0" w:color="000000"/>
              <w:bottom w:val="single" w:sz="4" w:space="0" w:color="000000"/>
              <w:right w:val="single" w:sz="4" w:space="0" w:color="000000"/>
            </w:tcBorders>
          </w:tcPr>
          <w:p>
            <w:pPr/>
          </w:p>
        </w:tc>
      </w:tr>
      <w:tr>
        <w:trPr>
          <w:trHeight w:val="350" w:hRule="exact"/>
        </w:trPr>
        <w:tc>
          <w:tcPr>
            <w:tcW w:w="850"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沈阳商业城股份有限公司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850"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日起在任</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49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spacing w:line="273" w:lineRule="auto" w:before="36"/>
        <w:ind w:left="393" w:right="342" w:firstLine="420"/>
        <w:jc w:val="left"/>
      </w:pPr>
      <w:r>
        <w:rPr/>
        <w:t>(四)</w:t>
      </w:r>
      <w:r>
        <w:rPr>
          <w:spacing w:val="73"/>
        </w:rPr>
        <w:t> </w:t>
      </w:r>
      <w:r>
        <w:rPr/>
        <w:t>公司现任及报告期内离任董事、监事和高级管理人员近三年没有受到证券监管机构处罚</w:t>
      </w:r>
      <w:r>
        <w:rPr>
          <w:w w:val="100"/>
        </w:rPr>
        <w:t> </w:t>
      </w:r>
      <w:r>
        <w:rPr/>
        <w:t>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26" w:lineRule="auto" w:before="0"/>
        <w:ind w:left="813" w:right="4908"/>
        <w:jc w:val="left"/>
      </w:pPr>
      <w:r>
        <w:rPr>
          <w:spacing w:val="-2"/>
        </w:rPr>
        <w:t>四、董事、监事、高级管理人员报酬情况</w:t>
      </w:r>
      <w:r>
        <w:rPr>
          <w:spacing w:val="-69"/>
        </w:rPr>
        <w:t> </w:t>
      </w:r>
      <w:r>
        <w:rPr>
          <w:spacing w:val="-69"/>
        </w:rPr>
      </w:r>
      <w:r>
        <w:rPr/>
        <w:t>(一)</w:t>
      </w:r>
      <w:r>
        <w:rPr>
          <w:spacing w:val="-1"/>
        </w:rPr>
        <w:t> </w:t>
      </w:r>
      <w:r>
        <w:rPr/>
        <w:t>报酬的决策程序、确定依据</w:t>
      </w:r>
    </w:p>
    <w:p>
      <w:pPr>
        <w:pStyle w:val="BodyText"/>
        <w:spacing w:line="273" w:lineRule="auto" w:before="0"/>
        <w:ind w:left="393" w:right="342" w:firstLine="420"/>
        <w:jc w:val="left"/>
      </w:pPr>
      <w:r>
        <w:rPr>
          <w:spacing w:val="-2"/>
        </w:rPr>
        <w:t>依据公司实际，给予公司董事、独立董事、监事适当的津贴。报告期内，公司按照津贴方案发</w:t>
      </w:r>
      <w:r>
        <w:rPr>
          <w:w w:val="100"/>
        </w:rPr>
        <w:t> </w:t>
      </w:r>
      <w:r>
        <w:rPr/>
        <w:t>放了</w:t>
      </w:r>
      <w:r>
        <w:rPr>
          <w:spacing w:val="-55"/>
        </w:rPr>
        <w:t> </w:t>
      </w:r>
      <w:r>
        <w:rPr/>
        <w:t>2017</w:t>
      </w:r>
      <w:r>
        <w:rPr>
          <w:spacing w:val="-57"/>
        </w:rPr>
        <w:t> </w:t>
      </w:r>
      <w:r>
        <w:rPr/>
        <w:t>年度津贴。董(监)事津贴方案已经由董事会、监事会分别提请公司股东大会批准。</w:t>
      </w:r>
    </w:p>
    <w:p>
      <w:pPr>
        <w:pStyle w:val="BodyText"/>
        <w:spacing w:line="273" w:lineRule="auto"/>
        <w:ind w:left="393" w:right="342" w:firstLine="420"/>
        <w:jc w:val="left"/>
      </w:pPr>
      <w:r>
        <w:rPr>
          <w:spacing w:val="-2"/>
        </w:rPr>
        <w:t>高级管理人员的薪酬由董事会依据经营情况确定，由基本薪酬和绩效薪酬组成，基本薪酬按月</w:t>
      </w:r>
      <w:r>
        <w:rPr>
          <w:w w:val="100"/>
        </w:rPr>
        <w:t> </w:t>
      </w:r>
      <w:r>
        <w:rPr/>
        <w:t>支付，绩效薪酬与年度完成经营业绩目标挂钩支付。</w:t>
      </w:r>
    </w:p>
    <w:p>
      <w:pPr>
        <w:pStyle w:val="BodyText"/>
        <w:spacing w:line="285" w:lineRule="auto" w:before="70"/>
        <w:ind w:left="813" w:right="447"/>
        <w:jc w:val="left"/>
      </w:pPr>
      <w:r>
        <w:rPr/>
        <w:t>(二) 应付报酬情况</w:t>
      </w:r>
      <w:r>
        <w:rPr>
          <w:spacing w:val="-104"/>
        </w:rPr>
        <w:t> </w:t>
      </w:r>
      <w:r>
        <w:rPr>
          <w:spacing w:val="-104"/>
        </w:rPr>
      </w:r>
      <w:r>
        <w:rPr/>
        <w:t>报告期末公司董事、监事和高级管理人员从公司获得的税前报酬总额合计为</w:t>
      </w:r>
      <w:r>
        <w:rPr>
          <w:spacing w:val="-56"/>
        </w:rPr>
        <w:t> </w:t>
      </w:r>
      <w:r>
        <w:rPr/>
        <w:t>297.65</w:t>
      </w:r>
      <w:r>
        <w:rPr>
          <w:spacing w:val="-54"/>
        </w:rPr>
        <w:t> </w:t>
      </w:r>
      <w:r>
        <w:rPr/>
        <w:t>万元。</w:t>
      </w:r>
      <w:r>
        <w:rPr>
          <w:w w:val="100"/>
        </w:rPr>
        <w:t> </w:t>
      </w:r>
      <w:r>
        <w:rPr>
          <w:spacing w:val="-2"/>
        </w:rPr>
        <w:t>报告期末每位现任及报告期内离任董事、监事和高级管理人员在报告期内从公司获得的税前报</w:t>
      </w:r>
    </w:p>
    <w:p>
      <w:pPr>
        <w:pStyle w:val="BodyText"/>
        <w:spacing w:line="272" w:lineRule="exact" w:before="0"/>
        <w:ind w:left="393" w:right="1174"/>
        <w:jc w:val="left"/>
      </w:pPr>
      <w:r>
        <w:rPr/>
        <w:t>酬总额及是否在公司关联方获取报酬说明见下表：</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787"/>
        <w:gridCol w:w="1135"/>
        <w:gridCol w:w="629"/>
        <w:gridCol w:w="994"/>
        <w:gridCol w:w="991"/>
        <w:gridCol w:w="425"/>
        <w:gridCol w:w="852"/>
        <w:gridCol w:w="1330"/>
        <w:gridCol w:w="682"/>
        <w:gridCol w:w="965"/>
        <w:gridCol w:w="850"/>
      </w:tblGrid>
      <w:tr>
        <w:trPr>
          <w:trHeight w:val="946"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98"/>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35"/>
                <w:sz w:val="18"/>
                <w:szCs w:val="18"/>
              </w:rPr>
              <w:t> </w:t>
            </w:r>
            <w:r>
              <w:rPr>
                <w:rFonts w:ascii="宋体" w:hAnsi="宋体" w:cs="宋体" w:eastAsia="宋体" w:hint="default"/>
                <w:sz w:val="18"/>
                <w:szCs w:val="18"/>
              </w:rPr>
              <w:t>职</w:t>
            </w:r>
            <w:r>
              <w:rPr>
                <w:rFonts w:ascii="宋体" w:hAnsi="宋体" w:cs="宋体" w:eastAsia="宋体" w:hint="default"/>
                <w:sz w:val="18"/>
                <w:szCs w:val="18"/>
              </w:rPr>
              <w:t> 状态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从公司获</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14"/>
                <w:sz w:val="18"/>
                <w:szCs w:val="18"/>
              </w:rPr>
              <w:t>得的税前</w:t>
            </w:r>
            <w:r>
              <w:rPr>
                <w:rFonts w:ascii="宋体" w:hAnsi="宋体" w:cs="宋体" w:eastAsia="宋体" w:hint="default"/>
                <w:sz w:val="18"/>
                <w:szCs w:val="18"/>
              </w:rPr>
              <w:t> </w:t>
            </w:r>
            <w:r>
              <w:rPr>
                <w:rFonts w:ascii="宋体" w:hAnsi="宋体" w:cs="宋体" w:eastAsia="宋体" w:hint="default"/>
                <w:spacing w:val="14"/>
                <w:sz w:val="18"/>
                <w:szCs w:val="18"/>
              </w:rPr>
              <w:t>报酬总额</w:t>
            </w:r>
            <w:r>
              <w:rPr>
                <w:rFonts w:ascii="宋体" w:hAnsi="宋体" w:cs="宋体" w:eastAsia="宋体" w:hint="default"/>
                <w:sz w:val="18"/>
                <w:szCs w:val="18"/>
              </w:rPr>
              <w:t> (万元)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14"/>
                <w:sz w:val="18"/>
                <w:szCs w:val="18"/>
              </w:rPr>
              <w:t>是否在公</w:t>
            </w:r>
            <w:r>
              <w:rPr>
                <w:rFonts w:ascii="宋体" w:hAnsi="宋体" w:cs="宋体" w:eastAsia="宋体" w:hint="default"/>
                <w:sz w:val="18"/>
                <w:szCs w:val="18"/>
              </w:rPr>
              <w:t> </w:t>
            </w:r>
            <w:r>
              <w:rPr>
                <w:rFonts w:ascii="宋体" w:hAnsi="宋体" w:cs="宋体" w:eastAsia="宋体" w:hint="default"/>
                <w:spacing w:val="14"/>
                <w:sz w:val="18"/>
                <w:szCs w:val="18"/>
              </w:rPr>
              <w:t>司关联方</w:t>
            </w:r>
            <w:r>
              <w:rPr>
                <w:rFonts w:ascii="宋体" w:hAnsi="宋体" w:cs="宋体" w:eastAsia="宋体" w:hint="default"/>
                <w:sz w:val="18"/>
                <w:szCs w:val="18"/>
              </w:rPr>
              <w:t> 获取报酬</w:t>
            </w:r>
          </w:p>
        </w:tc>
        <w:tc>
          <w:tcPr>
            <w:tcW w:w="425"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15"/>
                <w:sz w:val="18"/>
                <w:szCs w:val="18"/>
              </w:rPr>
              <w:t> </w:t>
            </w:r>
            <w:r>
              <w:rPr>
                <w:rFonts w:ascii="宋体" w:hAnsi="宋体" w:cs="宋体" w:eastAsia="宋体" w:hint="default"/>
                <w:sz w:val="18"/>
                <w:szCs w:val="18"/>
              </w:rPr>
              <w:t>职</w:t>
            </w:r>
            <w:r>
              <w:rPr>
                <w:rFonts w:ascii="宋体" w:hAnsi="宋体" w:cs="宋体" w:eastAsia="宋体" w:hint="default"/>
                <w:sz w:val="18"/>
                <w:szCs w:val="18"/>
              </w:rPr>
              <w:t> 状态</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从公司获</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得的税前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报酬总额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42"/>
                <w:sz w:val="18"/>
                <w:szCs w:val="18"/>
              </w:rPr>
              <w:t> </w:t>
            </w:r>
            <w:r>
              <w:rPr>
                <w:rFonts w:ascii="宋体" w:hAnsi="宋体" w:cs="宋体" w:eastAsia="宋体" w:hint="default"/>
                <w:sz w:val="18"/>
                <w:szCs w:val="18"/>
              </w:rPr>
              <w:t>在</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42"/>
                <w:sz w:val="18"/>
                <w:szCs w:val="18"/>
              </w:rPr>
              <w:t> </w:t>
            </w:r>
            <w:r>
              <w:rPr>
                <w:rFonts w:ascii="宋体" w:hAnsi="宋体" w:cs="宋体" w:eastAsia="宋体" w:hint="default"/>
                <w:sz w:val="18"/>
                <w:szCs w:val="18"/>
              </w:rPr>
              <w:t>司</w:t>
            </w:r>
            <w:r>
              <w:rPr>
                <w:rFonts w:ascii="宋体" w:hAnsi="宋体" w:cs="宋体" w:eastAsia="宋体" w:hint="default"/>
                <w:spacing w:val="-42"/>
                <w:sz w:val="18"/>
                <w:szCs w:val="18"/>
              </w:rPr>
              <w:t> </w:t>
            </w:r>
            <w:r>
              <w:rPr>
                <w:rFonts w:ascii="宋体" w:hAnsi="宋体" w:cs="宋体" w:eastAsia="宋体" w:hint="default"/>
                <w:sz w:val="18"/>
                <w:szCs w:val="18"/>
              </w:rPr>
              <w:t>关</w:t>
            </w:r>
            <w:r>
              <w:rPr>
                <w:rFonts w:ascii="宋体" w:hAnsi="宋体" w:cs="宋体" w:eastAsia="宋体" w:hint="default"/>
                <w:sz w:val="18"/>
                <w:szCs w:val="18"/>
              </w:rPr>
              <w:t> 联</w:t>
            </w:r>
            <w:r>
              <w:rPr>
                <w:rFonts w:ascii="宋体" w:hAnsi="宋体" w:cs="宋体" w:eastAsia="宋体" w:hint="default"/>
                <w:spacing w:val="-42"/>
                <w:sz w:val="18"/>
                <w:szCs w:val="18"/>
              </w:rPr>
              <w:t> </w:t>
            </w:r>
            <w:r>
              <w:rPr>
                <w:rFonts w:ascii="宋体" w:hAnsi="宋体" w:cs="宋体" w:eastAsia="宋体" w:hint="default"/>
                <w:sz w:val="18"/>
                <w:szCs w:val="18"/>
              </w:rPr>
              <w:t>方</w:t>
            </w:r>
            <w:r>
              <w:rPr>
                <w:rFonts w:ascii="宋体" w:hAnsi="宋体" w:cs="宋体" w:eastAsia="宋体" w:hint="default"/>
                <w:spacing w:val="-42"/>
                <w:sz w:val="18"/>
                <w:szCs w:val="18"/>
              </w:rPr>
              <w:t> </w:t>
            </w:r>
            <w:r>
              <w:rPr>
                <w:rFonts w:ascii="宋体" w:hAnsi="宋体" w:cs="宋体" w:eastAsia="宋体" w:hint="default"/>
                <w:sz w:val="18"/>
                <w:szCs w:val="18"/>
              </w:rPr>
              <w:t>获</w:t>
            </w:r>
            <w:r>
              <w:rPr>
                <w:rFonts w:ascii="宋体" w:hAnsi="宋体" w:cs="宋体" w:eastAsia="宋体" w:hint="default"/>
                <w:sz w:val="18"/>
                <w:szCs w:val="18"/>
              </w:rPr>
              <w:t> 取报酬</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谢海燕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吕晓清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徐小伍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张海英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张天福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林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33.87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费自力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汪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卢小娟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焦海青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董秘、副总裁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柳 </w:t>
            </w:r>
            <w:r>
              <w:rPr>
                <w:rFonts w:ascii="宋体" w:hAnsi="宋体" w:cs="宋体" w:eastAsia="宋体" w:hint="default"/>
                <w:spacing w:val="2"/>
                <w:sz w:val="18"/>
                <w:szCs w:val="18"/>
              </w:rPr>
              <w:t> </w:t>
            </w:r>
            <w:r>
              <w:rPr>
                <w:rFonts w:ascii="宋体" w:hAnsi="宋体" w:cs="宋体" w:eastAsia="宋体" w:hint="default"/>
                <w:sz w:val="18"/>
                <w:szCs w:val="18"/>
              </w:rPr>
              <w:t>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678" w:type="dxa"/>
            <w:gridSpan w:val="5"/>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35.87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廖南钢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朱文平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陈国平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vMerge/>
            <w:tcBorders>
              <w:left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王志远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35.50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毛琳娜</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98"/>
              <w:jc w:val="righ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陈哲元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6"/>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297.65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0"/>
          <w:szCs w:val="20"/>
        </w:rPr>
      </w:pPr>
    </w:p>
    <w:p>
      <w:pPr>
        <w:pStyle w:val="BodyText"/>
        <w:spacing w:line="240" w:lineRule="auto" w:before="36"/>
        <w:ind w:left="813" w:right="1174"/>
        <w:jc w:val="left"/>
      </w:pPr>
      <w:r>
        <w:rPr/>
        <w:t>(三)公司董事、监事和高级管理人员未涉及股权激励事项。</w:t>
      </w:r>
    </w:p>
    <w:p>
      <w:pPr>
        <w:tabs>
          <w:tab w:pos="4692" w:val="left" w:leader="none"/>
        </w:tabs>
        <w:spacing w:line="624" w:lineRule="exact" w:before="95"/>
        <w:ind w:left="813" w:right="3906" w:firstLine="3033"/>
        <w:jc w:val="left"/>
        <w:rPr>
          <w:rFonts w:ascii="宋体" w:hAnsi="宋体" w:cs="宋体" w:eastAsia="宋体" w:hint="default"/>
          <w:sz w:val="21"/>
          <w:szCs w:val="21"/>
        </w:rPr>
      </w:pPr>
      <w:r>
        <w:rPr>
          <w:rFonts w:ascii="宋体" w:hAnsi="宋体" w:cs="宋体" w:eastAsia="宋体" w:hint="default"/>
          <w:b/>
          <w:bCs/>
          <w:sz w:val="21"/>
          <w:szCs w:val="21"/>
        </w:rPr>
        <w:t>第二节</w:t>
        <w:tab/>
        <w:t>公司员工情况</w:t>
      </w:r>
      <w:r>
        <w:rPr>
          <w:rFonts w:ascii="宋体" w:hAnsi="宋体" w:cs="宋体" w:eastAsia="宋体" w:hint="default"/>
          <w:b/>
          <w:bCs/>
          <w:w w:val="100"/>
          <w:sz w:val="21"/>
          <w:szCs w:val="21"/>
        </w:rPr>
        <w:t> </w:t>
      </w:r>
      <w:r>
        <w:rPr>
          <w:rFonts w:ascii="宋体" w:hAnsi="宋体" w:cs="宋体" w:eastAsia="宋体" w:hint="default"/>
          <w:sz w:val="21"/>
          <w:szCs w:val="21"/>
        </w:rPr>
        <w:t>一、</w:t>
      </w:r>
      <w:r>
        <w:rPr>
          <w:rFonts w:ascii="宋体" w:hAnsi="宋体" w:cs="宋体" w:eastAsia="宋体" w:hint="default"/>
          <w:spacing w:val="-4"/>
          <w:sz w:val="21"/>
          <w:szCs w:val="21"/>
        </w:rPr>
        <w:t> </w:t>
      </w:r>
      <w:r>
        <w:rPr>
          <w:rFonts w:ascii="宋体" w:hAnsi="宋体" w:cs="宋体" w:eastAsia="宋体" w:hint="default"/>
          <w:sz w:val="21"/>
          <w:szCs w:val="21"/>
        </w:rPr>
        <w:t>员工的数量、专业构成及教育程度</w:t>
      </w:r>
    </w:p>
    <w:p>
      <w:pPr>
        <w:pStyle w:val="BodyText"/>
        <w:spacing w:line="246" w:lineRule="exact" w:before="0"/>
        <w:ind w:left="813" w:right="1174"/>
        <w:jc w:val="left"/>
      </w:pPr>
      <w:r>
        <w:rPr/>
        <w:t>1、员工数量表</w:t>
      </w:r>
    </w:p>
    <w:p>
      <w:pPr>
        <w:spacing w:after="0" w:line="246" w:lineRule="exact"/>
        <w:jc w:val="left"/>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834"/>
        <w:gridCol w:w="2551"/>
        <w:gridCol w:w="4253"/>
      </w:tblGrid>
      <w:tr>
        <w:trPr>
          <w:trHeight w:val="322" w:hRule="exact"/>
        </w:trPr>
        <w:tc>
          <w:tcPr>
            <w:tcW w:w="5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w:t>
            </w:r>
          </w:p>
        </w:tc>
      </w:tr>
      <w:tr>
        <w:trPr>
          <w:trHeight w:val="324" w:hRule="exact"/>
        </w:trPr>
        <w:tc>
          <w:tcPr>
            <w:tcW w:w="28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660</w:t>
            </w:r>
          </w:p>
        </w:tc>
      </w:tr>
      <w:tr>
        <w:trPr>
          <w:trHeight w:val="322" w:hRule="exact"/>
        </w:trPr>
        <w:tc>
          <w:tcPr>
            <w:tcW w:w="2834" w:type="dxa"/>
            <w:vMerge/>
            <w:tcBorders>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7,710</w:t>
            </w:r>
          </w:p>
        </w:tc>
      </w:tr>
      <w:tr>
        <w:trPr>
          <w:trHeight w:val="322" w:hRule="exact"/>
        </w:trPr>
        <w:tc>
          <w:tcPr>
            <w:tcW w:w="5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8,385</w:t>
            </w:r>
          </w:p>
        </w:tc>
      </w:tr>
      <w:tr>
        <w:trPr>
          <w:trHeight w:val="322" w:hRule="exact"/>
        </w:trPr>
        <w:tc>
          <w:tcPr>
            <w:tcW w:w="5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11,099</w:t>
            </w:r>
          </w:p>
        </w:tc>
      </w:tr>
      <w:tr>
        <w:trPr>
          <w:trHeight w:val="322" w:hRule="exact"/>
        </w:trPr>
        <w:tc>
          <w:tcPr>
            <w:tcW w:w="5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813" w:right="1174"/>
        <w:jc w:val="left"/>
      </w:pPr>
      <w:r>
        <w:rPr/>
        <w:t>2、专业构成饼状图(图上数字为各专业人数)</w:t>
      </w:r>
    </w:p>
    <w:p>
      <w:pPr>
        <w:spacing w:line="240" w:lineRule="auto" w:before="6"/>
        <w:rPr>
          <w:rFonts w:ascii="宋体" w:hAnsi="宋体" w:cs="宋体" w:eastAsia="宋体" w:hint="default"/>
          <w:sz w:val="9"/>
          <w:szCs w:val="9"/>
        </w:rPr>
      </w:pPr>
    </w:p>
    <w:p>
      <w:pPr>
        <w:spacing w:line="2035" w:lineRule="exact"/>
        <w:ind w:left="463" w:right="0" w:firstLine="0"/>
        <w:rPr>
          <w:rFonts w:ascii="宋体" w:hAnsi="宋体" w:cs="宋体" w:eastAsia="宋体" w:hint="default"/>
          <w:sz w:val="20"/>
          <w:szCs w:val="20"/>
        </w:rPr>
      </w:pPr>
      <w:r>
        <w:rPr>
          <w:rFonts w:ascii="宋体"/>
          <w:position w:val="-40"/>
          <w:sz w:val="20"/>
        </w:rPr>
        <w:pict>
          <v:group style="width:191.8pt;height:101.8pt;mso-position-horizontal-relative:char;mso-position-vertical-relative:line" coordorigin="0,0" coordsize="3836,2036">
            <v:group style="position:absolute;left:1349;top:569;width:543;height:576" coordorigin="1349,569" coordsize="543,576">
              <v:shape style="position:absolute;left:1349;top:569;width:543;height:576" coordorigin="1349,569" coordsize="543,576" path="m1349,569l1349,1145,1891,970,1864,900,1829,836,1787,777,1738,725,1684,679,1624,641,1560,610,1493,587,1422,574,1349,569xe" filled="true" fillcolor="#4f81bd" stroked="false">
                <v:path arrowok="t"/>
                <v:fill type="solid"/>
              </v:shape>
            </v:group>
            <v:group style="position:absolute;left:1349;top:970;width:569;height:461" coordorigin="1349,970" coordsize="569,461">
              <v:shape style="position:absolute;left:1349;top:970;width:569;height:461" coordorigin="1349,970" coordsize="569,461" path="m1891,970l1349,1145,1843,1430,1878,1358,1902,1282,1915,1204,1918,1126,1910,1047,1891,970xe" filled="true" fillcolor="#c0504d" stroked="false">
                <v:path arrowok="t"/>
                <v:fill type="solid"/>
              </v:shape>
            </v:group>
            <v:group style="position:absolute;left:1349;top:1145;width:495;height:564" coordorigin="1349,1145" coordsize="495,564">
              <v:shape style="position:absolute;left:1349;top:1145;width:495;height:564" coordorigin="1349,1145" coordsize="495,564" path="m1349,1145l1469,1709,1546,1686,1618,1652,1685,1609,1745,1558,1798,1498,1843,1430,1349,1145xe" filled="true" fillcolor="#9bbb59" stroked="false">
                <v:path arrowok="t"/>
                <v:fill type="solid"/>
              </v:shape>
            </v:group>
            <v:group style="position:absolute;left:782;top:1145;width:687;height:577" coordorigin="782,1145" coordsize="687,577">
              <v:shape style="position:absolute;left:782;top:1145;width:687;height:577" coordorigin="782,1145" coordsize="687,577" path="m1349,1145l782,1205,795,1282,818,1355,849,1423,889,1486,936,1543,989,1593,1048,1636,1113,1671,1182,1697,1254,1714,1329,1721,1406,1718,1422,1717,1438,1715,1453,1712,1469,1709,1349,1145xe" filled="true" fillcolor="#8064a2" stroked="false">
                <v:path arrowok="t"/>
                <v:fill type="solid"/>
              </v:shape>
            </v:group>
            <v:group style="position:absolute;left:778;top:569;width:572;height:636" coordorigin="778,569" coordsize="572,636">
              <v:shape style="position:absolute;left:778;top:569;width:572;height:636" coordorigin="778,569" coordsize="572,636" path="m1349,569l1272,574,1197,589,1127,614,1061,647,1000,688,945,737,897,792,856,854,823,920,798,991,783,1066,778,1145,778,1160,779,1175,781,1190,782,1205,1349,1145,1349,569xe" filled="true" fillcolor="#4bacc6" stroked="false">
                <v:path arrowok="t"/>
                <v:fill type="solid"/>
              </v:shape>
            </v:group>
            <v:group style="position:absolute;left:2398;top:538;width:104;height:106" coordorigin="2398,538" coordsize="104,106">
              <v:shape style="position:absolute;left:2398;top:538;width:104;height:106" coordorigin="2398,538" coordsize="104,106" path="m2398,538l2501,538,2501,643,2398,643,2398,538xe" filled="true" fillcolor="#4f81bd" stroked="false">
                <v:path arrowok="t"/>
                <v:fill type="solid"/>
              </v:shape>
            </v:group>
            <v:group style="position:absolute;left:2398;top:823;width:104;height:104" coordorigin="2398,823" coordsize="104,104">
              <v:shape style="position:absolute;left:2398;top:823;width:104;height:104" coordorigin="2398,823" coordsize="104,104" path="m2398,823l2501,823,2501,926,2398,926,2398,823xe" filled="true" fillcolor="#c0504d" stroked="false">
                <v:path arrowok="t"/>
                <v:fill type="solid"/>
              </v:shape>
            </v:group>
            <v:group style="position:absolute;left:2398;top:1106;width:104;height:106" coordorigin="2398,1106" coordsize="104,106">
              <v:shape style="position:absolute;left:2398;top:1106;width:104;height:106" coordorigin="2398,1106" coordsize="104,106" path="m2398,1106l2501,1106,2501,1212,2398,1212,2398,1106xe" filled="true" fillcolor="#9bbb59" stroked="false">
                <v:path arrowok="t"/>
                <v:fill type="solid"/>
              </v:shape>
            </v:group>
            <v:group style="position:absolute;left:2398;top:1378;width:104;height:104" coordorigin="2398,1378" coordsize="104,104">
              <v:shape style="position:absolute;left:2398;top:1378;width:104;height:104" coordorigin="2398,1378" coordsize="104,104" path="m2398,1378l2501,1378,2501,1481,2398,1481,2398,1378xe" filled="true" fillcolor="#8064a2" stroked="false">
                <v:path arrowok="t"/>
                <v:fill type="solid"/>
              </v:shape>
            </v:group>
            <v:group style="position:absolute;left:2398;top:1661;width:104;height:106" coordorigin="2398,1661" coordsize="104,106">
              <v:shape style="position:absolute;left:2398;top:1661;width:104;height:106" coordorigin="2398,1661" coordsize="104,106" path="m2398,1661l2501,1661,2501,1766,2398,1766,2398,1661xe" filled="true" fillcolor="#4bacc6" stroked="false">
                <v:path arrowok="t"/>
                <v:fill type="solid"/>
              </v:shape>
              <v:shape style="position:absolute;left:0;top:0;width:3835;height:2035" type="#_x0000_t75" stroked="false">
                <v:imagedata r:id="rId47" o:title=""/>
              </v:shape>
              <v:shape style="position:absolute;left:252;top:151;width:1309;height:181" type="#_x0000_t202" filled="false" stroked="false">
                <v:textbox inset="0,0,0,0">
                  <w:txbxContent>
                    <w:p>
                      <w:pPr>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b/>
                          <w:bCs/>
                          <w:spacing w:val="5"/>
                          <w:sz w:val="18"/>
                          <w:szCs w:val="18"/>
                        </w:rPr>
                        <w:t>母公司合计15人</w:t>
                      </w:r>
                      <w:r>
                        <w:rPr>
                          <w:rFonts w:ascii="宋体" w:hAnsi="宋体" w:cs="宋体" w:eastAsia="宋体" w:hint="default"/>
                          <w:spacing w:val="5"/>
                          <w:sz w:val="18"/>
                          <w:szCs w:val="18"/>
                        </w:rPr>
                      </w:r>
                    </w:p>
                  </w:txbxContent>
                </v:textbox>
                <w10:wrap type="none"/>
              </v:shape>
              <v:shape style="position:absolute;left:1073;top:808;width:100;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2"/>
                          <w:sz w:val="19"/>
                        </w:rPr>
                        <w:t>4</w:t>
                      </w:r>
                      <w:r>
                        <w:rPr>
                          <w:rFonts w:ascii="Calibri"/>
                          <w:sz w:val="19"/>
                        </w:rPr>
                      </w:r>
                    </w:p>
                  </w:txbxContent>
                </v:textbox>
                <w10:wrap type="none"/>
              </v:shape>
              <v:shape style="position:absolute;left:1479;top:779;width:100;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2"/>
                          <w:sz w:val="19"/>
                        </w:rPr>
                        <w:t>3</w:t>
                      </w:r>
                      <w:r>
                        <w:rPr>
                          <w:rFonts w:ascii="Calibri"/>
                          <w:sz w:val="19"/>
                        </w:rPr>
                      </w:r>
                    </w:p>
                  </w:txbxContent>
                </v:textbox>
                <w10:wrap type="none"/>
              </v:shape>
              <v:shape style="position:absolute;left:2537;top:485;width:662;height:450" type="#_x0000_t202" filled="false" stroked="false">
                <v:textbox inset="0,0,0,0">
                  <w:txbxContent>
                    <w:p>
                      <w:pPr>
                        <w:spacing w:line="165"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财务人员</w:t>
                      </w:r>
                    </w:p>
                    <w:p>
                      <w:pPr>
                        <w:spacing w:before="74"/>
                        <w:ind w:left="0" w:right="0" w:firstLine="0"/>
                        <w:jc w:val="left"/>
                        <w:rPr>
                          <w:rFonts w:ascii="宋体" w:hAnsi="宋体" w:cs="宋体" w:eastAsia="宋体" w:hint="default"/>
                          <w:sz w:val="16"/>
                          <w:szCs w:val="16"/>
                        </w:rPr>
                      </w:pPr>
                      <w:r>
                        <w:rPr>
                          <w:rFonts w:ascii="宋体" w:hAnsi="宋体" w:cs="宋体" w:eastAsia="宋体" w:hint="default"/>
                          <w:sz w:val="16"/>
                          <w:szCs w:val="16"/>
                        </w:rPr>
                        <w:t>证券人员</w:t>
                      </w:r>
                    </w:p>
                  </w:txbxContent>
                </v:textbox>
                <w10:wrap type="none"/>
              </v:shape>
              <v:shape style="position:absolute;left:1719;top:1142;width:100;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2"/>
                          <w:sz w:val="19"/>
                        </w:rPr>
                        <w:t>2</w:t>
                      </w:r>
                      <w:r>
                        <w:rPr>
                          <w:rFonts w:ascii="Calibri"/>
                          <w:sz w:val="19"/>
                        </w:rPr>
                      </w:r>
                    </w:p>
                  </w:txbxContent>
                </v:textbox>
                <w10:wrap type="none"/>
              </v:shape>
              <v:shape style="position:absolute;left:1116;top:1413;width:476;height:197" type="#_x0000_t202" filled="false" stroked="false">
                <v:textbox inset="0,0,0,0">
                  <w:txbxContent>
                    <w:p>
                      <w:pPr>
                        <w:tabs>
                          <w:tab w:pos="376" w:val="left" w:leader="none"/>
                        </w:tabs>
                        <w:spacing w:line="196" w:lineRule="exact" w:before="0"/>
                        <w:ind w:left="0" w:right="0" w:firstLine="0"/>
                        <w:jc w:val="left"/>
                        <w:rPr>
                          <w:rFonts w:ascii="Calibri" w:hAnsi="Calibri" w:cs="Calibri" w:eastAsia="Calibri" w:hint="default"/>
                          <w:sz w:val="19"/>
                          <w:szCs w:val="19"/>
                        </w:rPr>
                      </w:pPr>
                      <w:r>
                        <w:rPr>
                          <w:rFonts w:ascii="Calibri"/>
                          <w:sz w:val="19"/>
                        </w:rPr>
                        <w:t>4</w:t>
                        <w:tab/>
                        <w:t>2</w:t>
                      </w:r>
                    </w:p>
                  </w:txbxContent>
                </v:textbox>
                <w10:wrap type="none"/>
              </v:shape>
              <v:shape style="position:absolute;left:2537;top:1049;width:662;height:730" type="#_x0000_t202" filled="false" stroked="false">
                <v:textbox inset="0,0,0,0">
                  <w:txbxContent>
                    <w:p>
                      <w:pPr>
                        <w:spacing w:line="165"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审计人员</w:t>
                      </w:r>
                    </w:p>
                    <w:p>
                      <w:pPr>
                        <w:spacing w:line="280" w:lineRule="atLeast" w:before="3"/>
                        <w:ind w:left="0" w:right="0" w:firstLine="0"/>
                        <w:jc w:val="left"/>
                        <w:rPr>
                          <w:rFonts w:ascii="宋体" w:hAnsi="宋体" w:cs="宋体" w:eastAsia="宋体" w:hint="default"/>
                          <w:sz w:val="16"/>
                          <w:szCs w:val="16"/>
                        </w:rPr>
                      </w:pPr>
                      <w:r>
                        <w:rPr>
                          <w:rFonts w:ascii="宋体" w:hAnsi="宋体" w:cs="宋体" w:eastAsia="宋体" w:hint="default"/>
                          <w:sz w:val="16"/>
                          <w:szCs w:val="16"/>
                        </w:rPr>
                        <w:t>管理人员</w:t>
                      </w:r>
                      <w:r>
                        <w:rPr>
                          <w:rFonts w:ascii="宋体" w:hAnsi="宋体" w:cs="宋体" w:eastAsia="宋体" w:hint="default"/>
                          <w:spacing w:val="-58"/>
                          <w:sz w:val="16"/>
                          <w:szCs w:val="16"/>
                        </w:rPr>
                        <w:t> </w:t>
                      </w:r>
                      <w:r>
                        <w:rPr>
                          <w:rFonts w:ascii="宋体" w:hAnsi="宋体" w:cs="宋体" w:eastAsia="宋体" w:hint="default"/>
                          <w:sz w:val="16"/>
                          <w:szCs w:val="16"/>
                        </w:rPr>
                        <w:t>行政人员</w:t>
                      </w:r>
                    </w:p>
                  </w:txbxContent>
                </v:textbox>
                <w10:wrap type="none"/>
              </v:shape>
            </v:group>
          </v:group>
        </w:pict>
      </w:r>
      <w:r>
        <w:rPr>
          <w:rFonts w:ascii="宋体"/>
          <w:position w:val="-40"/>
          <w:sz w:val="20"/>
        </w:rPr>
      </w:r>
      <w:r>
        <w:rPr>
          <w:rFonts w:ascii="Times New Roman"/>
          <w:spacing w:val="78"/>
          <w:position w:val="-40"/>
          <w:sz w:val="20"/>
        </w:rPr>
        <w:t> </w:t>
      </w:r>
      <w:r>
        <w:rPr>
          <w:rFonts w:ascii="宋体"/>
          <w:spacing w:val="78"/>
          <w:position w:val="-40"/>
          <w:sz w:val="20"/>
        </w:rPr>
        <w:pict>
          <v:group style="width:200.8pt;height:101.8pt;mso-position-horizontal-relative:char;mso-position-vertical-relative:line" coordorigin="0,0" coordsize="4016,2036">
            <v:group style="position:absolute;left:1430;top:569;width:327;height:576" coordorigin="1430,569" coordsize="327,576">
              <v:shape style="position:absolute;left:1430;top:569;width:327;height:576" coordorigin="1430,569" coordsize="327,576" path="m1430,569l1430,1145,1757,670,1681,626,1601,594,1516,575,1430,569xe" filled="true" fillcolor="#4f81bd" stroked="false">
                <v:path arrowok="t"/>
                <v:fill type="solid"/>
              </v:shape>
            </v:group>
            <v:group style="position:absolute;left:1430;top:670;width:524;height:476" coordorigin="1430,670" coordsize="524,476">
              <v:shape style="position:absolute;left:1430;top:670;width:524;height:476" coordorigin="1430,670" coordsize="524,476" path="m1757,670l1430,1145,1954,900,1916,833,1870,771,1817,717,1757,670xe" filled="true" fillcolor="#c0504d" stroked="false">
                <v:path arrowok="t"/>
                <v:fill type="solid"/>
              </v:shape>
            </v:group>
            <v:group style="position:absolute;left:854;top:682;width:1153;height:1040" coordorigin="854,682" coordsize="1153,1040">
              <v:shape style="position:absolute;left:854;top:682;width:1153;height:1040" coordorigin="854,682" coordsize="1153,1040" path="m1087,682l1032,728,983,780,942,837,909,897,884,960,866,1026,856,1093,854,1161,860,1230,874,1297,897,1363,928,1427,967,1488,1014,1544,1066,1592,1123,1633,1183,1666,1247,1692,1313,1709,1380,1719,1448,1721,1516,1715,1584,1701,1650,1678,1713,1647,1774,1608,1830,1560,1879,1507,1921,1449,1954,1386,1980,1320,1997,1252,2006,1182,2006,1145,1430,1145,1087,682xe" filled="true" fillcolor="#9bbb59" stroked="false">
                <v:path arrowok="t"/>
                <v:fill type="solid"/>
              </v:shape>
              <v:shape style="position:absolute;left:854;top:682;width:1153;height:1040" coordorigin="854,682" coordsize="1153,1040" path="m1954,900l1430,1145,2006,1145,2006,1111,1998,1040,1980,969,1954,900xe" filled="true" fillcolor="#9bbb59" stroked="false">
                <v:path arrowok="t"/>
                <v:fill type="solid"/>
              </v:shape>
            </v:group>
            <v:group style="position:absolute;left:1087;top:646;width:344;height:500" coordorigin="1087,646" coordsize="344,500">
              <v:shape style="position:absolute;left:1087;top:646;width:344;height:500" coordorigin="1087,646" coordsize="344,500" path="m1142,646l1128,653,1114,662,1100,671,1087,682,1430,1145,1142,646xe" filled="true" fillcolor="#8064a2" stroked="false">
                <v:path arrowok="t"/>
                <v:fill type="solid"/>
              </v:shape>
            </v:group>
            <v:group style="position:absolute;left:1142;top:569;width:288;height:576" coordorigin="1142,569" coordsize="288,576">
              <v:shape style="position:absolute;left:1142;top:569;width:288;height:576" coordorigin="1142,569" coordsize="288,576" path="m1430,569l1355,574,1281,588,1210,612,1142,646,1430,1145,1430,569xe" filled="true" fillcolor="#4bacc6" stroked="false">
                <v:path arrowok="t"/>
                <v:fill type="solid"/>
              </v:shape>
            </v:group>
            <v:group style="position:absolute;left:2638;top:583;width:106;height:106" coordorigin="2638,583" coordsize="106,106">
              <v:shape style="position:absolute;left:2638;top:583;width:106;height:106" coordorigin="2638,583" coordsize="106,106" path="m2638,583l2743,583,2743,689,2638,689,2638,583xe" filled="true" fillcolor="#4f81bd" stroked="false">
                <v:path arrowok="t"/>
                <v:fill type="solid"/>
              </v:shape>
            </v:group>
            <v:group style="position:absolute;left:2638;top:838;width:106;height:106" coordorigin="2638,838" coordsize="106,106">
              <v:shape style="position:absolute;left:2638;top:838;width:106;height:106" coordorigin="2638,838" coordsize="106,106" path="m2638,838l2743,838,2743,943,2638,943,2638,838xe" filled="true" fillcolor="#c0504d" stroked="false">
                <v:path arrowok="t"/>
                <v:fill type="solid"/>
              </v:shape>
            </v:group>
            <v:group style="position:absolute;left:2638;top:1092;width:106;height:106" coordorigin="2638,1092" coordsize="106,106">
              <v:shape style="position:absolute;left:2638;top:1092;width:106;height:106" coordorigin="2638,1092" coordsize="106,106" path="m2638,1092l2743,1092,2743,1198,2638,1198,2638,1092xe" filled="true" fillcolor="#9bbb59" stroked="false">
                <v:path arrowok="t"/>
                <v:fill type="solid"/>
              </v:shape>
            </v:group>
            <v:group style="position:absolute;left:2638;top:1361;width:106;height:106" coordorigin="2638,1361" coordsize="106,106">
              <v:shape style="position:absolute;left:2638;top:1361;width:106;height:106" coordorigin="2638,1361" coordsize="106,106" path="m2638,1361l2743,1361,2743,1466,2638,1466,2638,1361xe" filled="true" fillcolor="#8064a2" stroked="false">
                <v:path arrowok="t"/>
                <v:fill type="solid"/>
              </v:shape>
            </v:group>
            <v:group style="position:absolute;left:2638;top:1618;width:106;height:104" coordorigin="2638,1618" coordsize="106,104">
              <v:shape style="position:absolute;left:2638;top:1618;width:106;height:104" coordorigin="2638,1618" coordsize="106,104" path="m2638,1618l2743,1618,2743,1721,2638,1721,2638,1618xe" filled="true" fillcolor="#4bacc6" stroked="false">
                <v:path arrowok="t"/>
                <v:fill type="solid"/>
              </v:shape>
              <v:shape style="position:absolute;left:0;top:0;width:4015;height:2035" type="#_x0000_t75" stroked="false">
                <v:imagedata r:id="rId48" o:title=""/>
              </v:shape>
              <v:shape style="position:absolute;left:110;top:130;width:3039;height:181" type="#_x0000_t202" filled="false" stroked="false">
                <v:textbox inset="0,0,0,0">
                  <w:txbxContent>
                    <w:p>
                      <w:pPr>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b/>
                          <w:bCs/>
                          <w:spacing w:val="3"/>
                          <w:sz w:val="18"/>
                          <w:szCs w:val="18"/>
                        </w:rPr>
                        <w:t>北京创世漫道科技有限公司合计660人</w:t>
                      </w:r>
                      <w:r>
                        <w:rPr>
                          <w:rFonts w:ascii="宋体" w:hAnsi="宋体" w:cs="宋体" w:eastAsia="宋体" w:hint="default"/>
                          <w:spacing w:val="3"/>
                          <w:sz w:val="18"/>
                          <w:szCs w:val="18"/>
                        </w:rPr>
                      </w:r>
                    </w:p>
                  </w:txbxContent>
                </v:textbox>
                <w10:wrap type="none"/>
              </v:shape>
              <v:shape style="position:absolute;left:917;top:426;width:484;height:293" type="#_x0000_t202" filled="false" stroked="false">
                <v:textbox inset="0,0,0,0">
                  <w:txbxContent>
                    <w:p>
                      <w:pPr>
                        <w:spacing w:line="292" w:lineRule="exact" w:before="0"/>
                        <w:ind w:left="0" w:right="0" w:firstLine="0"/>
                        <w:jc w:val="left"/>
                        <w:rPr>
                          <w:rFonts w:ascii="Calibri" w:hAnsi="Calibri" w:cs="Calibri" w:eastAsia="Calibri" w:hint="default"/>
                          <w:sz w:val="19"/>
                          <w:szCs w:val="19"/>
                        </w:rPr>
                      </w:pPr>
                      <w:r>
                        <w:rPr>
                          <w:rFonts w:ascii="Calibri"/>
                          <w:w w:val="105"/>
                          <w:position w:val="-9"/>
                          <w:sz w:val="19"/>
                        </w:rPr>
                        <w:t>12</w:t>
                      </w:r>
                      <w:r>
                        <w:rPr>
                          <w:rFonts w:ascii="Calibri"/>
                          <w:spacing w:val="30"/>
                          <w:w w:val="105"/>
                          <w:position w:val="-9"/>
                          <w:sz w:val="19"/>
                        </w:rPr>
                        <w:t> </w:t>
                      </w:r>
                      <w:r>
                        <w:rPr>
                          <w:rFonts w:ascii="Calibri"/>
                          <w:w w:val="105"/>
                          <w:sz w:val="19"/>
                        </w:rPr>
                        <w:t>55</w:t>
                      </w:r>
                      <w:r>
                        <w:rPr>
                          <w:rFonts w:ascii="Calibri"/>
                          <w:sz w:val="19"/>
                        </w:rPr>
                      </w:r>
                    </w:p>
                  </w:txbxContent>
                </v:textbox>
                <w10:wrap type="none"/>
              </v:shape>
              <v:shape style="position:absolute;left:1445;top:652;width:205;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63</w:t>
                      </w:r>
                    </w:p>
                  </w:txbxContent>
                </v:textbox>
                <w10:wrap type="none"/>
              </v:shape>
              <v:shape style="position:absolute;left:1889;top:568;width:205;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56</w:t>
                      </w:r>
                    </w:p>
                  </w:txbxContent>
                </v:textbox>
                <w10:wrap type="none"/>
              </v:shape>
              <v:shape style="position:absolute;left:1099;top:1322;width:308;height:197"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2"/>
                          <w:sz w:val="19"/>
                        </w:rPr>
                        <w:t>474</w:t>
                      </w:r>
                    </w:p>
                  </w:txbxContent>
                </v:textbox>
                <w10:wrap type="none"/>
              </v:shape>
              <v:shape style="position:absolute;left:2777;top:523;width:660;height:1213" type="#_x0000_t202" filled="false" stroked="false">
                <v:textbox inset="0,0,0,0">
                  <w:txbxContent>
                    <w:p>
                      <w:pPr>
                        <w:spacing w:line="165" w:lineRule="exact" w:before="0"/>
                        <w:ind w:left="0" w:right="0" w:firstLine="0"/>
                        <w:jc w:val="both"/>
                        <w:rPr>
                          <w:rFonts w:ascii="宋体" w:hAnsi="宋体" w:cs="宋体" w:eastAsia="宋体" w:hint="default"/>
                          <w:sz w:val="16"/>
                          <w:szCs w:val="16"/>
                        </w:rPr>
                      </w:pPr>
                      <w:r>
                        <w:rPr>
                          <w:rFonts w:ascii="宋体" w:hAnsi="宋体" w:cs="宋体" w:eastAsia="宋体" w:hint="default"/>
                          <w:sz w:val="16"/>
                          <w:szCs w:val="16"/>
                        </w:rPr>
                        <w:t>运营人员</w:t>
                      </w:r>
                    </w:p>
                    <w:p>
                      <w:pPr>
                        <w:spacing w:line="260" w:lineRule="atLeast" w:before="1"/>
                        <w:ind w:left="0" w:right="0" w:firstLine="0"/>
                        <w:jc w:val="both"/>
                        <w:rPr>
                          <w:rFonts w:ascii="宋体" w:hAnsi="宋体" w:cs="宋体" w:eastAsia="宋体" w:hint="default"/>
                          <w:sz w:val="16"/>
                          <w:szCs w:val="16"/>
                        </w:rPr>
                      </w:pPr>
                      <w:r>
                        <w:rPr>
                          <w:rFonts w:ascii="宋体" w:hAnsi="宋体" w:cs="宋体" w:eastAsia="宋体" w:hint="default"/>
                          <w:sz w:val="16"/>
                          <w:szCs w:val="16"/>
                        </w:rPr>
                        <w:t>营销人员</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技术人员</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财务人员</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行政人员</w:t>
                      </w:r>
                    </w:p>
                  </w:txbxContent>
                </v:textbox>
                <w10:wrap type="none"/>
              </v:shape>
            </v:group>
          </v:group>
        </w:pict>
      </w:r>
      <w:r>
        <w:rPr>
          <w:rFonts w:ascii="宋体"/>
          <w:spacing w:val="78"/>
          <w:position w:val="-40"/>
          <w:sz w:val="20"/>
        </w:rPr>
      </w:r>
    </w:p>
    <w:p>
      <w:pPr>
        <w:spacing w:line="240" w:lineRule="auto" w:before="7"/>
        <w:rPr>
          <w:rFonts w:ascii="宋体" w:hAnsi="宋体" w:cs="宋体" w:eastAsia="宋体" w:hint="default"/>
          <w:sz w:val="14"/>
          <w:szCs w:val="14"/>
        </w:rPr>
      </w:pPr>
    </w:p>
    <w:p>
      <w:pPr>
        <w:spacing w:line="2572" w:lineRule="exact"/>
        <w:ind w:left="463" w:right="0" w:firstLine="0"/>
        <w:rPr>
          <w:rFonts w:ascii="宋体" w:hAnsi="宋体" w:cs="宋体" w:eastAsia="宋体" w:hint="default"/>
          <w:sz w:val="20"/>
          <w:szCs w:val="20"/>
        </w:rPr>
      </w:pPr>
      <w:r>
        <w:rPr>
          <w:rFonts w:ascii="宋体" w:hAnsi="宋体" w:cs="宋体" w:eastAsia="宋体" w:hint="default"/>
          <w:position w:val="-50"/>
          <w:sz w:val="20"/>
          <w:szCs w:val="20"/>
        </w:rPr>
        <w:pict>
          <v:group style="width:404.05pt;height:128.65pt;mso-position-horizontal-relative:char;mso-position-vertical-relative:line" coordorigin="0,0" coordsize="8081,2573">
            <v:group style="position:absolute;left:3005;top:672;width:137;height:711" coordorigin="3005,672" coordsize="137,711">
              <v:shape style="position:absolute;left:3005;top:672;width:137;height:711" coordorigin="3005,672" coordsize="137,711" path="m3005,672l3005,1382,3142,684,3107,679,3073,675,3039,673,3005,672xe" filled="true" fillcolor="#4572a7" stroked="false">
                <v:path arrowok="t"/>
                <v:fill type="solid"/>
              </v:shape>
            </v:group>
            <v:group style="position:absolute;left:3029;top:610;width:171;height:692" coordorigin="3029,610" coordsize="171,692">
              <v:shape style="position:absolute;left:3029;top:610;width:171;height:692" coordorigin="3029,610" coordsize="171,692" path="m3163,610l3029,1301,3199,619,3187,614,3163,610xe" filled="true" fillcolor="#aa4643" stroked="false">
                <v:path arrowok="t"/>
                <v:fill type="solid"/>
              </v:shape>
            </v:group>
            <v:group style="position:absolute;left:3005;top:694;width:382;height:689" coordorigin="3005,694" coordsize="382,689">
              <v:shape style="position:absolute;left:3005;top:694;width:382;height:689" coordorigin="3005,694" coordsize="382,689" path="m3178,694l3005,1382,3386,782,3337,754,3286,729,3233,709,3178,694xe" filled="true" fillcolor="#89a54e" stroked="false">
                <v:path arrowok="t"/>
                <v:fill type="solid"/>
              </v:shape>
            </v:group>
            <v:group style="position:absolute;left:3005;top:782;width:714;height:860" coordorigin="3005,782" coordsize="714,860">
              <v:shape style="position:absolute;left:3005;top:782;width:714;height:860" coordorigin="3005,782" coordsize="714,860" path="m3386,782l3005,1382,3670,1642,3694,1568,3710,1493,3718,1418,3718,1343,3709,1269,3694,1196,3670,1126,3640,1058,3602,994,3558,933,3507,878,3450,827,3386,782xe" filled="true" fillcolor="#71588f" stroked="false">
                <v:path arrowok="t"/>
                <v:fill type="solid"/>
              </v:shape>
            </v:group>
            <v:group style="position:absolute;left:3005;top:1382;width:665;height:687" coordorigin="3005,1382" coordsize="665,687">
              <v:shape style="position:absolute;left:3005;top:1382;width:665;height:687" coordorigin="3005,1382" coordsize="665,687" path="m3005,1382l3192,2069,3263,2045,3331,2015,3394,1978,3453,1935,3508,1886,3557,1832,3601,1773,3638,1709,3670,1642,3005,1382xe" filled="true" fillcolor="#4198af" stroked="false">
                <v:path arrowok="t"/>
                <v:fill type="solid"/>
              </v:shape>
            </v:group>
            <v:group style="position:absolute;left:2294;top:672;width:898;height:1421" coordorigin="2294,672" coordsize="898,1421">
              <v:shape style="position:absolute;left:2294;top:672;width:898;height:1421" coordorigin="2294,672" coordsize="898,1421" path="m3005,672l2927,676,2852,688,2780,708,2711,735,2646,769,2585,809,2528,855,2477,907,2431,963,2391,1024,2357,1089,2330,1158,2311,1230,2299,1305,2294,1382,2299,1460,2311,1535,2330,1607,2357,1676,2391,1742,2431,1802,2477,1859,2528,1910,2585,1956,2646,1996,2711,2030,2780,2057,2852,2076,2927,2089,3005,2093,3053,2091,3100,2087,3147,2080,3192,2069,3005,1382,3005,672xe" filled="true" fillcolor="#db843d" stroked="false">
                <v:path arrowok="t"/>
                <v:fill type="solid"/>
              </v:shape>
            </v:group>
            <v:group style="position:absolute;left:5915;top:732;width:2;height:89" coordorigin="5915,732" coordsize="2,89">
              <v:shape style="position:absolute;left:5915;top:732;width:2;height:89" coordorigin="5915,732" coordsize="0,89" path="m5915,732l5915,821e" filled="false" stroked="true" strokeweight="3.72pt" strokecolor="#4572a7">
                <v:path arrowok="t"/>
              </v:shape>
            </v:group>
            <v:group style="position:absolute;left:5915;top:986;width:2;height:89" coordorigin="5915,986" coordsize="2,89">
              <v:shape style="position:absolute;left:5915;top:986;width:2;height:89" coordorigin="5915,986" coordsize="0,89" path="m5915,986l5915,1075e" filled="false" stroked="true" strokeweight="3.72pt" strokecolor="#aa4643">
                <v:path arrowok="t"/>
              </v:shape>
            </v:group>
            <v:group style="position:absolute;left:5915;top:1255;width:2;height:92" coordorigin="5915,1255" coordsize="2,92">
              <v:shape style="position:absolute;left:5915;top:1255;width:2;height:92" coordorigin="5915,1255" coordsize="0,92" path="m5915,1255l5915,1346e" filled="false" stroked="true" strokeweight="3.72pt" strokecolor="#89a54e">
                <v:path arrowok="t"/>
              </v:shape>
            </v:group>
            <v:group style="position:absolute;left:5915;top:1510;width:2;height:89" coordorigin="5915,1510" coordsize="2,89">
              <v:shape style="position:absolute;left:5915;top:1510;width:2;height:89" coordorigin="5915,1510" coordsize="0,89" path="m5915,1510l5915,1598e" filled="false" stroked="true" strokeweight="3.72pt" strokecolor="#71588f">
                <v:path arrowok="t"/>
              </v:shape>
            </v:group>
            <v:group style="position:absolute;left:5878;top:1816;width:75;height:2" coordorigin="5878,1816" coordsize="75,2">
              <v:shape style="position:absolute;left:5878;top:1816;width:75;height:2" coordorigin="5878,1816" coordsize="75,0" path="m5878,1816l5952,1816e" filled="false" stroked="true" strokeweight="3.72pt" strokecolor="#4198af">
                <v:path arrowok="t"/>
              </v:shape>
            </v:group>
            <v:group style="position:absolute;left:5915;top:2033;width:2;height:92" coordorigin="5915,2033" coordsize="2,92">
              <v:shape style="position:absolute;left:5915;top:2033;width:2;height:92" coordorigin="5915,2033" coordsize="0,92" path="m5915,2033l5915,2124e" filled="false" stroked="true" strokeweight="3.72pt" strokecolor="#db843d">
                <v:path arrowok="t"/>
              </v:shape>
              <v:shape style="position:absolute;left:0;top:0;width:8081;height:2573" type="#_x0000_t75" stroked="false">
                <v:imagedata r:id="rId49" o:title=""/>
              </v:shape>
              <v:shape style="position:absolute;left:218;top:121;width:3397;height:568" type="#_x0000_t202" filled="false" stroked="false">
                <v:textbox inset="0,0,0,0">
                  <w:txbxContent>
                    <w:p>
                      <w:pPr>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广东长实通信科技有限公司合计7,710人</w:t>
                      </w:r>
                      <w:r>
                        <w:rPr>
                          <w:rFonts w:ascii="宋体" w:hAnsi="宋体" w:cs="宋体" w:eastAsia="宋体" w:hint="default"/>
                          <w:sz w:val="18"/>
                          <w:szCs w:val="18"/>
                        </w:rPr>
                      </w:r>
                    </w:p>
                    <w:p>
                      <w:pPr>
                        <w:spacing w:line="310" w:lineRule="exact" w:before="77"/>
                        <w:ind w:left="0" w:right="0" w:firstLine="0"/>
                        <w:jc w:val="right"/>
                        <w:rPr>
                          <w:rFonts w:ascii="Calibri" w:hAnsi="Calibri" w:cs="Calibri" w:eastAsia="Calibri" w:hint="default"/>
                          <w:sz w:val="19"/>
                          <w:szCs w:val="19"/>
                        </w:rPr>
                      </w:pPr>
                      <w:r>
                        <w:rPr>
                          <w:rFonts w:ascii="Calibri"/>
                          <w:spacing w:val="2"/>
                          <w:w w:val="105"/>
                          <w:position w:val="1"/>
                          <w:sz w:val="19"/>
                        </w:rPr>
                        <w:t>235 </w:t>
                      </w:r>
                      <w:r>
                        <w:rPr>
                          <w:rFonts w:ascii="Calibri"/>
                          <w:w w:val="105"/>
                          <w:position w:val="8"/>
                          <w:sz w:val="19"/>
                        </w:rPr>
                        <w:t>66</w:t>
                      </w:r>
                      <w:r>
                        <w:rPr>
                          <w:rFonts w:ascii="Calibri"/>
                          <w:spacing w:val="1"/>
                          <w:w w:val="105"/>
                          <w:position w:val="8"/>
                          <w:sz w:val="19"/>
                        </w:rPr>
                        <w:t> </w:t>
                      </w:r>
                      <w:r>
                        <w:rPr>
                          <w:rFonts w:ascii="Calibri"/>
                          <w:spacing w:val="2"/>
                          <w:w w:val="105"/>
                          <w:sz w:val="19"/>
                        </w:rPr>
                        <w:t>389</w:t>
                      </w:r>
                      <w:r>
                        <w:rPr>
                          <w:rFonts w:ascii="Calibri"/>
                          <w:spacing w:val="2"/>
                          <w:sz w:val="19"/>
                        </w:rPr>
                      </w:r>
                    </w:p>
                  </w:txbxContent>
                </v:textbox>
                <w10:wrap type="none"/>
              </v:shape>
              <v:shape style="position:absolute;left:3156;top:1243;width:459;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1,697</w:t>
                      </w:r>
                      <w:r>
                        <w:rPr>
                          <w:rFonts w:ascii="Calibri"/>
                          <w:sz w:val="19"/>
                        </w:rPr>
                      </w:r>
                    </w:p>
                  </w:txbxContent>
                </v:textbox>
                <w10:wrap type="none"/>
              </v:shape>
              <v:shape style="position:absolute;left:2433;top:1471;width:462;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z w:val="19"/>
                        </w:rPr>
                        <w:t>4,181</w:t>
                      </w:r>
                    </w:p>
                  </w:txbxContent>
                </v:textbox>
                <w10:wrap type="none"/>
              </v:shape>
              <v:shape style="position:absolute;left:3494;top:1946;width:459;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1,142</w:t>
                      </w:r>
                      <w:r>
                        <w:rPr>
                          <w:rFonts w:ascii="Calibri"/>
                          <w:sz w:val="19"/>
                        </w:rPr>
                      </w:r>
                    </w:p>
                  </w:txbxContent>
                </v:textbox>
                <w10:wrap type="none"/>
              </v:shape>
              <v:shape style="position:absolute;left:6012;top:705;width:991;height:1474" type="#_x0000_t202" filled="false" stroked="false">
                <v:textbox inset="0,0,0,0">
                  <w:txbxContent>
                    <w:p>
                      <w:pPr>
                        <w:spacing w:line="165" w:lineRule="exact" w:before="0"/>
                        <w:ind w:left="0" w:right="0" w:firstLine="0"/>
                        <w:jc w:val="left"/>
                        <w:rPr>
                          <w:rFonts w:ascii="宋体" w:hAnsi="宋体" w:cs="宋体" w:eastAsia="宋体" w:hint="default"/>
                          <w:sz w:val="16"/>
                          <w:szCs w:val="16"/>
                        </w:rPr>
                      </w:pPr>
                      <w:r>
                        <w:rPr>
                          <w:rFonts w:ascii="宋体" w:hAnsi="宋体" w:cs="宋体" w:eastAsia="宋体" w:hint="default"/>
                          <w:w w:val="105"/>
                          <w:sz w:val="16"/>
                          <w:szCs w:val="16"/>
                        </w:rPr>
                        <w:t>管理人员</w:t>
                      </w:r>
                      <w:r>
                        <w:rPr>
                          <w:rFonts w:ascii="宋体" w:hAnsi="宋体" w:cs="宋体" w:eastAsia="宋体" w:hint="default"/>
                          <w:sz w:val="16"/>
                          <w:szCs w:val="16"/>
                        </w:rPr>
                      </w:r>
                    </w:p>
                    <w:p>
                      <w:pPr>
                        <w:spacing w:line="260" w:lineRule="atLeast" w:before="1"/>
                        <w:ind w:left="0" w:right="0" w:firstLine="0"/>
                        <w:jc w:val="left"/>
                        <w:rPr>
                          <w:rFonts w:ascii="宋体" w:hAnsi="宋体" w:cs="宋体" w:eastAsia="宋体" w:hint="default"/>
                          <w:sz w:val="16"/>
                          <w:szCs w:val="16"/>
                        </w:rPr>
                      </w:pPr>
                      <w:r>
                        <w:rPr>
                          <w:rFonts w:ascii="宋体" w:hAnsi="宋体" w:cs="宋体" w:eastAsia="宋体" w:hint="default"/>
                          <w:w w:val="105"/>
                          <w:sz w:val="16"/>
                          <w:szCs w:val="16"/>
                        </w:rPr>
                        <w:t>财务人员</w:t>
                      </w:r>
                      <w:r>
                        <w:rPr>
                          <w:rFonts w:ascii="宋体" w:hAnsi="宋体" w:cs="宋体" w:eastAsia="宋体" w:hint="default"/>
                          <w:w w:val="103"/>
                          <w:sz w:val="16"/>
                          <w:szCs w:val="16"/>
                        </w:rPr>
                        <w:t> </w:t>
                      </w:r>
                      <w:r>
                        <w:rPr>
                          <w:rFonts w:ascii="宋体" w:hAnsi="宋体" w:cs="宋体" w:eastAsia="宋体" w:hint="default"/>
                          <w:w w:val="105"/>
                          <w:sz w:val="16"/>
                          <w:szCs w:val="16"/>
                        </w:rPr>
                        <w:t>市场人员</w:t>
                      </w:r>
                      <w:r>
                        <w:rPr>
                          <w:rFonts w:ascii="宋体" w:hAnsi="宋体" w:cs="宋体" w:eastAsia="宋体" w:hint="default"/>
                          <w:w w:val="103"/>
                          <w:sz w:val="16"/>
                          <w:szCs w:val="16"/>
                        </w:rPr>
                        <w:t> </w:t>
                      </w:r>
                      <w:r>
                        <w:rPr>
                          <w:rFonts w:ascii="宋体" w:hAnsi="宋体" w:cs="宋体" w:eastAsia="宋体" w:hint="default"/>
                          <w:sz w:val="16"/>
                          <w:szCs w:val="16"/>
                        </w:rPr>
                        <w:t>后台支撑人员</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sz w:val="16"/>
                          <w:szCs w:val="16"/>
                        </w:rPr>
                        <w:t>技术支撑人员</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w w:val="105"/>
                          <w:sz w:val="16"/>
                          <w:szCs w:val="16"/>
                        </w:rPr>
                        <w:t>生产人员</w:t>
                      </w:r>
                      <w:r>
                        <w:rPr>
                          <w:rFonts w:ascii="宋体" w:hAnsi="宋体" w:cs="宋体" w:eastAsia="宋体" w:hint="default"/>
                          <w:sz w:val="16"/>
                          <w:szCs w:val="16"/>
                        </w:rPr>
                      </w:r>
                    </w:p>
                  </w:txbxContent>
                </v:textbox>
                <w10:wrap type="none"/>
              </v:shape>
            </v:group>
          </v:group>
        </w:pict>
      </w:r>
      <w:r>
        <w:rPr>
          <w:rFonts w:ascii="宋体" w:hAnsi="宋体" w:cs="宋体" w:eastAsia="宋体" w:hint="default"/>
          <w:position w:val="-50"/>
          <w:sz w:val="20"/>
          <w:szCs w:val="20"/>
        </w:rPr>
      </w:r>
    </w:p>
    <w:p>
      <w:pPr>
        <w:spacing w:line="240" w:lineRule="auto" w:before="5"/>
        <w:rPr>
          <w:rFonts w:ascii="宋体" w:hAnsi="宋体" w:cs="宋体" w:eastAsia="宋体" w:hint="default"/>
          <w:sz w:val="29"/>
          <w:szCs w:val="29"/>
        </w:rPr>
      </w:pPr>
    </w:p>
    <w:p>
      <w:pPr>
        <w:pStyle w:val="BodyText"/>
        <w:spacing w:line="240" w:lineRule="auto" w:before="36"/>
        <w:ind w:left="813" w:right="1174"/>
        <w:jc w:val="left"/>
      </w:pPr>
      <w:r>
        <w:rPr/>
        <w:t>3、教育程度</w:t>
      </w:r>
    </w:p>
    <w:p>
      <w:pPr>
        <w:pStyle w:val="BodyText"/>
        <w:spacing w:line="273" w:lineRule="auto" w:before="37"/>
        <w:ind w:left="393" w:right="342" w:firstLine="420"/>
        <w:jc w:val="left"/>
      </w:pPr>
      <w:r>
        <w:rPr/>
        <w:t>母公司</w:t>
      </w:r>
      <w:r>
        <w:rPr>
          <w:spacing w:val="-54"/>
        </w:rPr>
        <w:t> </w:t>
      </w:r>
      <w:r>
        <w:rPr/>
        <w:t>15</w:t>
      </w:r>
      <w:r>
        <w:rPr>
          <w:spacing w:val="-56"/>
        </w:rPr>
        <w:t> </w:t>
      </w:r>
      <w:r>
        <w:rPr/>
        <w:t>人中本科及以上学历</w:t>
      </w:r>
      <w:r>
        <w:rPr>
          <w:spacing w:val="-54"/>
        </w:rPr>
        <w:t> </w:t>
      </w:r>
      <w:r>
        <w:rPr/>
        <w:t>6</w:t>
      </w:r>
      <w:r>
        <w:rPr>
          <w:spacing w:val="-56"/>
        </w:rPr>
        <w:t> </w:t>
      </w:r>
      <w:r>
        <w:rPr>
          <w:spacing w:val="-3"/>
        </w:rPr>
        <w:t>人，大专学历</w:t>
      </w:r>
      <w:r>
        <w:rPr>
          <w:spacing w:val="-54"/>
        </w:rPr>
        <w:t> </w:t>
      </w:r>
      <w:r>
        <w:rPr/>
        <w:t>9</w:t>
      </w:r>
      <w:r>
        <w:rPr>
          <w:spacing w:val="-56"/>
        </w:rPr>
        <w:t> </w:t>
      </w:r>
      <w:r>
        <w:rPr/>
        <w:t>人；子公司教育程度柱状图如下(图上数字为</w:t>
      </w:r>
      <w:r>
        <w:rPr>
          <w:w w:val="100"/>
        </w:rPr>
        <w:t> </w:t>
      </w:r>
      <w:r>
        <w:rPr/>
        <w:t>各教育程度对应人数)</w:t>
      </w:r>
    </w:p>
    <w:p>
      <w:pPr>
        <w:spacing w:line="240" w:lineRule="auto" w:before="10"/>
        <w:rPr>
          <w:rFonts w:ascii="宋体" w:hAnsi="宋体" w:cs="宋体" w:eastAsia="宋体" w:hint="default"/>
          <w:sz w:val="10"/>
          <w:szCs w:val="10"/>
        </w:rPr>
      </w:pPr>
    </w:p>
    <w:p>
      <w:pPr>
        <w:spacing w:line="2568" w:lineRule="exact"/>
        <w:ind w:left="465" w:right="0" w:firstLine="0"/>
        <w:rPr>
          <w:rFonts w:ascii="宋体" w:hAnsi="宋体" w:cs="宋体" w:eastAsia="宋体" w:hint="default"/>
          <w:sz w:val="20"/>
          <w:szCs w:val="20"/>
        </w:rPr>
      </w:pPr>
      <w:r>
        <w:rPr>
          <w:rFonts w:ascii="宋体" w:hAnsi="宋体" w:cs="宋体" w:eastAsia="宋体" w:hint="default"/>
          <w:position w:val="-50"/>
          <w:sz w:val="20"/>
          <w:szCs w:val="20"/>
        </w:rPr>
        <w:pict>
          <v:group style="width:436pt;height:128.4pt;mso-position-horizontal-relative:char;mso-position-vertical-relative:line" coordorigin="0,0" coordsize="8720,2568">
            <v:group style="position:absolute;left:2405;top:1670;width:212;height:269" coordorigin="2405,1670" coordsize="212,269">
              <v:shape style="position:absolute;left:2405;top:1670;width:212;height:269" coordorigin="2405,1670" coordsize="212,269" path="m2616,1670l2405,1670,2405,1939,2616,1939,2616,1670xe" filled="true" fillcolor="#4f81bd" stroked="false">
                <v:path arrowok="t"/>
                <v:fill type="solid"/>
              </v:shape>
            </v:group>
            <v:group style="position:absolute;left:2616;top:1774;width:214;height:166" coordorigin="2616,1774" coordsize="214,166">
              <v:shape style="position:absolute;left:2616;top:1774;width:214;height:166" coordorigin="2616,1774" coordsize="214,166" path="m2830,1774l2616,1774,2616,1939,2830,1939,2830,1774xe" filled="true" fillcolor="#c0504d" stroked="false">
                <v:path arrowok="t"/>
                <v:fill type="solid"/>
              </v:shape>
            </v:group>
            <v:group style="position:absolute;left:2830;top:1938;width:214;height:2" coordorigin="2830,1938" coordsize="214,2">
              <v:shape style="position:absolute;left:2830;top:1938;width:214;height:2" coordorigin="2830,1938" coordsize="214,0" path="m2830,1938l3043,1938e" filled="false" stroked="true" strokeweight=".12pt" strokecolor="#9bbb59">
                <v:path arrowok="t"/>
              </v:shape>
            </v:group>
            <v:group style="position:absolute;left:3043;top:1936;width:212;height:2" coordorigin="3043,1936" coordsize="212,2">
              <v:shape style="position:absolute;left:3043;top:1936;width:212;height:2" coordorigin="3043,1936" coordsize="212,0" path="m3043,1936l3254,1936e" filled="false" stroked="true" strokeweight=".36pt" strokecolor="#8064a2">
                <v:path arrowok="t"/>
              </v:shape>
            </v:group>
            <v:group style="position:absolute;left:3785;top:1601;width:216;height:339" coordorigin="3785,1601" coordsize="216,339">
              <v:shape style="position:absolute;left:3785;top:1601;width:216;height:339" coordorigin="3785,1601" coordsize="216,339" path="m4001,1601l3785,1601,3785,1939,4001,1939,4001,1601xe" filled="true" fillcolor="#4f81bd" stroked="false">
                <v:path arrowok="t"/>
                <v:fill type="solid"/>
              </v:shape>
            </v:group>
            <v:group style="position:absolute;left:4001;top:482;width:212;height:1457" coordorigin="4001,482" coordsize="212,1457">
              <v:shape style="position:absolute;left:4001;top:482;width:212;height:1457" coordorigin="4001,482" coordsize="212,1457" path="m4212,482l4001,482,4001,1939,4212,1939,4212,482xe" filled="true" fillcolor="#c0504d" stroked="false">
                <v:path arrowok="t"/>
                <v:fill type="solid"/>
              </v:shape>
            </v:group>
            <v:group style="position:absolute;left:4212;top:576;width:212;height:1364" coordorigin="4212,576" coordsize="212,1364">
              <v:shape style="position:absolute;left:4212;top:576;width:212;height:1364" coordorigin="4212,576" coordsize="212,1364" path="m4423,576l4212,576,4212,1939,4423,1939,4423,576xe" filled="true" fillcolor="#9bbb59" stroked="false">
                <v:path arrowok="t"/>
                <v:fill type="solid"/>
              </v:shape>
            </v:group>
            <v:group style="position:absolute;left:4423;top:634;width:214;height:1306" coordorigin="4423,634" coordsize="214,1306">
              <v:shape style="position:absolute;left:4423;top:634;width:214;height:1306" coordorigin="4423,634" coordsize="214,1306" path="m4637,634l4423,634,4423,1939,4637,1939,4637,634xe" filled="true" fillcolor="#8064a2" stroked="false">
                <v:path arrowok="t"/>
                <v:fill type="solid"/>
              </v:shape>
            </v:group>
            <v:group style="position:absolute;left:4637;top:1082;width:212;height:857" coordorigin="4637,1082" coordsize="212,857">
              <v:shape style="position:absolute;left:4637;top:1082;width:212;height:857" coordorigin="4637,1082" coordsize="212,857" path="m4848,1082l4637,1082,4637,1939,4848,1939,4848,1082xe" filled="true" fillcolor="#4bacc6" stroked="false">
                <v:path arrowok="t"/>
                <v:fill type="solid"/>
              </v:shape>
            </v:group>
            <v:group style="position:absolute;left:864;top:214;width:2;height:1788" coordorigin="864,214" coordsize="2,1788">
              <v:shape style="position:absolute;left:864;top:214;width:2;height:1788" coordorigin="864,214" coordsize="0,1788" path="m864,214l864,2002e" filled="false" stroked="true" strokeweight=".72pt" strokecolor="#868686">
                <v:path arrowok="t"/>
              </v:shape>
            </v:group>
            <v:group style="position:absolute;left:799;top:1939;width:65;height:2" coordorigin="799,1939" coordsize="65,2">
              <v:shape style="position:absolute;left:799;top:1939;width:65;height:2" coordorigin="799,1939" coordsize="65,0" path="m799,1939l864,1939e" filled="false" stroked="true" strokeweight=".72pt" strokecolor="#868686">
                <v:path arrowok="t"/>
              </v:shape>
            </v:group>
            <v:group style="position:absolute;left:799;top:1594;width:65;height:2" coordorigin="799,1594" coordsize="65,2">
              <v:shape style="position:absolute;left:799;top:1594;width:65;height:2" coordorigin="799,1594" coordsize="65,0" path="m799,1594l864,1594e" filled="false" stroked="true" strokeweight=".72pt" strokecolor="#868686">
                <v:path arrowok="t"/>
              </v:shape>
            </v:group>
            <v:group style="position:absolute;left:799;top:1250;width:65;height:2" coordorigin="799,1250" coordsize="65,2">
              <v:shape style="position:absolute;left:799;top:1250;width:65;height:2" coordorigin="799,1250" coordsize="65,0" path="m799,1250l864,1250e" filled="false" stroked="true" strokeweight=".72pt" strokecolor="#868686">
                <v:path arrowok="t"/>
              </v:shape>
            </v:group>
            <v:group style="position:absolute;left:799;top:902;width:65;height:2" coordorigin="799,902" coordsize="65,2">
              <v:shape style="position:absolute;left:799;top:902;width:65;height:2" coordorigin="799,902" coordsize="65,0" path="m799,902l864,902e" filled="false" stroked="true" strokeweight=".72pt" strokecolor="#868686">
                <v:path arrowok="t"/>
              </v:shape>
            </v:group>
            <v:group style="position:absolute;left:799;top:559;width:65;height:2" coordorigin="799,559" coordsize="65,2">
              <v:shape style="position:absolute;left:799;top:559;width:65;height:2" coordorigin="799,559" coordsize="65,0" path="m799,559l864,559e" filled="false" stroked="true" strokeweight=".72pt" strokecolor="#868686">
                <v:path arrowok="t"/>
              </v:shape>
            </v:group>
            <v:group style="position:absolute;left:799;top:214;width:65;height:2" coordorigin="799,214" coordsize="65,2">
              <v:shape style="position:absolute;left:799;top:214;width:65;height:2" coordorigin="799,214" coordsize="65,0" path="m799,214l864,214e" filled="false" stroked="true" strokeweight=".72pt" strokecolor="#868686">
                <v:path arrowok="t"/>
              </v:shape>
            </v:group>
            <v:group style="position:absolute;left:864;top:1939;width:5528;height:2" coordorigin="864,1939" coordsize="5528,2">
              <v:shape style="position:absolute;left:864;top:1939;width:5528;height:2" coordorigin="864,1939" coordsize="5528,0" path="m864,1939l6391,1939e" filled="false" stroked="true" strokeweight=".72pt" strokecolor="#868686">
                <v:path arrowok="t"/>
              </v:shape>
            </v:group>
            <v:group style="position:absolute;left:2237;top:1970;width:15;height:2" coordorigin="2237,1970" coordsize="15,2">
              <v:shape style="position:absolute;left:2237;top:1970;width:15;height:2" coordorigin="2237,1970" coordsize="15,0" path="m2237,1970l2251,1970e" filled="false" stroked="true" strokeweight="3.12pt" strokecolor="#868686">
                <v:path arrowok="t"/>
              </v:shape>
            </v:group>
            <v:group style="position:absolute;left:3619;top:1970;width:15;height:2" coordorigin="3619,1970" coordsize="15,2">
              <v:shape style="position:absolute;left:3619;top:1970;width:15;height:2" coordorigin="3619,1970" coordsize="15,0" path="m3619,1970l3634,1970e" filled="false" stroked="true" strokeweight="3.12pt" strokecolor="#868686">
                <v:path arrowok="t"/>
              </v:shape>
            </v:group>
            <v:group style="position:absolute;left:5002;top:1970;width:15;height:2" coordorigin="5002,1970" coordsize="15,2">
              <v:shape style="position:absolute;left:5002;top:1970;width:15;height:2" coordorigin="5002,1970" coordsize="15,0" path="m5002,1970l5016,1970e" filled="false" stroked="true" strokeweight="3.12pt" strokecolor="#868686">
                <v:path arrowok="t"/>
              </v:shape>
            </v:group>
            <v:group style="position:absolute;left:6384;top:1970;width:15;height:2" coordorigin="6384,1970" coordsize="15,2">
              <v:shape style="position:absolute;left:6384;top:1970;width:15;height:2" coordorigin="6384,1970" coordsize="15,0" path="m6384,1970l6398,1970e" filled="false" stroked="true" strokeweight="3.12pt" strokecolor="#868686">
                <v:path arrowok="t"/>
              </v:shape>
            </v:group>
            <v:group style="position:absolute;left:6994;top:348;width:99;height:99" coordorigin="6994,348" coordsize="99,99">
              <v:shape style="position:absolute;left:6994;top:348;width:99;height:99" coordorigin="6994,348" coordsize="99,99" path="m6994,348l7092,348,7092,446,6994,446,6994,348xe" filled="true" fillcolor="#4f81bd" stroked="false">
                <v:path arrowok="t"/>
                <v:fill type="solid"/>
              </v:shape>
            </v:group>
            <v:group style="position:absolute;left:6994;top:650;width:99;height:101" coordorigin="6994,650" coordsize="99,101">
              <v:shape style="position:absolute;left:6994;top:650;width:99;height:101" coordorigin="6994,650" coordsize="99,101" path="m6994,650l7092,650,7092,751,6994,751,6994,650xe" filled="true" fillcolor="#c0504d" stroked="false">
                <v:path arrowok="t"/>
                <v:fill type="solid"/>
              </v:shape>
            </v:group>
            <v:group style="position:absolute;left:6994;top:953;width:99;height:99" coordorigin="6994,953" coordsize="99,99">
              <v:shape style="position:absolute;left:6994;top:953;width:99;height:99" coordorigin="6994,953" coordsize="99,99" path="m6994,953l7092,953,7092,1051,6994,1051,6994,953xe" filled="true" fillcolor="#9bbb59" stroked="false">
                <v:path arrowok="t"/>
                <v:fill type="solid"/>
              </v:shape>
            </v:group>
            <v:group style="position:absolute;left:6994;top:1258;width:99;height:99" coordorigin="6994,1258" coordsize="99,99">
              <v:shape style="position:absolute;left:6994;top:1258;width:99;height:99" coordorigin="6994,1258" coordsize="99,99" path="m6994,1258l7092,1258,7092,1356,6994,1356,6994,1258xe" filled="true" fillcolor="#8064a2" stroked="false">
                <v:path arrowok="t"/>
                <v:fill type="solid"/>
              </v:shape>
            </v:group>
            <v:group style="position:absolute;left:6994;top:1560;width:99;height:99" coordorigin="6994,1560" coordsize="99,99">
              <v:shape style="position:absolute;left:6994;top:1560;width:99;height:99" coordorigin="6994,1560" coordsize="99,99" path="m6994,1560l7092,1560,7092,1658,6994,1658,6994,1560xe" filled="true" fillcolor="#4bacc6" stroked="false">
                <v:path arrowok="t"/>
                <v:fill type="solid"/>
              </v:shape>
              <v:shape style="position:absolute;left:0;top:0;width:8719;height:2568" type="#_x0000_t75" stroked="false">
                <v:imagedata r:id="rId50" o:title=""/>
              </v:shape>
              <v:shape style="position:absolute;left:271;top:122;width:406;height:1925" type="#_x0000_t202" filled="false" stroked="false">
                <v:textbox inset="0,0,0,0">
                  <w:txbxContent>
                    <w:p>
                      <w:pPr>
                        <w:spacing w:line="203" w:lineRule="exact" w:before="0"/>
                        <w:ind w:left="0" w:right="0" w:firstLine="0"/>
                        <w:jc w:val="center"/>
                        <w:rPr>
                          <w:rFonts w:ascii="Calibri" w:hAnsi="Calibri" w:cs="Calibri" w:eastAsia="Calibri" w:hint="default"/>
                          <w:sz w:val="20"/>
                          <w:szCs w:val="20"/>
                        </w:rPr>
                      </w:pPr>
                      <w:r>
                        <w:rPr>
                          <w:rFonts w:ascii="Calibri"/>
                          <w:spacing w:val="-1"/>
                          <w:sz w:val="20"/>
                        </w:rPr>
                        <w:t>2500</w:t>
                      </w:r>
                    </w:p>
                    <w:p>
                      <w:pPr>
                        <w:spacing w:before="101"/>
                        <w:ind w:left="0" w:right="0" w:firstLine="0"/>
                        <w:jc w:val="center"/>
                        <w:rPr>
                          <w:rFonts w:ascii="Calibri" w:hAnsi="Calibri" w:cs="Calibri" w:eastAsia="Calibri" w:hint="default"/>
                          <w:sz w:val="20"/>
                          <w:szCs w:val="20"/>
                        </w:rPr>
                      </w:pPr>
                      <w:r>
                        <w:rPr>
                          <w:rFonts w:ascii="Calibri"/>
                          <w:spacing w:val="-1"/>
                          <w:sz w:val="20"/>
                        </w:rPr>
                        <w:t>2000</w:t>
                      </w:r>
                    </w:p>
                    <w:p>
                      <w:pPr>
                        <w:spacing w:before="101"/>
                        <w:ind w:left="0" w:right="0" w:firstLine="0"/>
                        <w:jc w:val="center"/>
                        <w:rPr>
                          <w:rFonts w:ascii="Calibri" w:hAnsi="Calibri" w:cs="Calibri" w:eastAsia="Calibri" w:hint="default"/>
                          <w:sz w:val="20"/>
                          <w:szCs w:val="20"/>
                        </w:rPr>
                      </w:pPr>
                      <w:r>
                        <w:rPr>
                          <w:rFonts w:ascii="Calibri"/>
                          <w:spacing w:val="-1"/>
                          <w:sz w:val="20"/>
                        </w:rPr>
                        <w:t>1500</w:t>
                      </w:r>
                    </w:p>
                    <w:p>
                      <w:pPr>
                        <w:spacing w:before="99"/>
                        <w:ind w:left="0" w:right="0" w:firstLine="0"/>
                        <w:jc w:val="center"/>
                        <w:rPr>
                          <w:rFonts w:ascii="Calibri" w:hAnsi="Calibri" w:cs="Calibri" w:eastAsia="Calibri" w:hint="default"/>
                          <w:sz w:val="20"/>
                          <w:szCs w:val="20"/>
                        </w:rPr>
                      </w:pPr>
                      <w:r>
                        <w:rPr>
                          <w:rFonts w:ascii="Calibri"/>
                          <w:spacing w:val="-1"/>
                          <w:sz w:val="20"/>
                        </w:rPr>
                        <w:t>1000</w:t>
                      </w:r>
                    </w:p>
                    <w:p>
                      <w:pPr>
                        <w:spacing w:before="101"/>
                        <w:ind w:left="99" w:right="0" w:firstLine="0"/>
                        <w:jc w:val="center"/>
                        <w:rPr>
                          <w:rFonts w:ascii="Calibri" w:hAnsi="Calibri" w:cs="Calibri" w:eastAsia="Calibri" w:hint="default"/>
                          <w:sz w:val="20"/>
                          <w:szCs w:val="20"/>
                        </w:rPr>
                      </w:pPr>
                      <w:r>
                        <w:rPr>
                          <w:rFonts w:ascii="Calibri"/>
                          <w:sz w:val="20"/>
                        </w:rPr>
                        <w:t>500</w:t>
                      </w:r>
                    </w:p>
                    <w:p>
                      <w:pPr>
                        <w:spacing w:line="240" w:lineRule="exact" w:before="101"/>
                        <w:ind w:left="0" w:right="0" w:firstLine="0"/>
                        <w:jc w:val="right"/>
                        <w:rPr>
                          <w:rFonts w:ascii="Calibri" w:hAnsi="Calibri" w:cs="Calibri" w:eastAsia="Calibri" w:hint="default"/>
                          <w:sz w:val="20"/>
                          <w:szCs w:val="20"/>
                        </w:rPr>
                      </w:pPr>
                      <w:r>
                        <w:rPr>
                          <w:rFonts w:ascii="Calibri"/>
                          <w:w w:val="99"/>
                          <w:sz w:val="20"/>
                        </w:rPr>
                        <w:t>0</w:t>
                      </w:r>
                      <w:r>
                        <w:rPr>
                          <w:rFonts w:ascii="Calibri"/>
                          <w:sz w:val="20"/>
                        </w:rPr>
                      </w:r>
                    </w:p>
                  </w:txbxContent>
                </v:textbox>
                <w10:wrap type="none"/>
              </v:shape>
              <v:shape style="position:absolute;left:3773;top:293;width:455;height:199"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2,112</w:t>
                      </w:r>
                      <w:r>
                        <w:rPr>
                          <w:rFonts w:ascii="Calibri"/>
                          <w:sz w:val="20"/>
                        </w:rPr>
                      </w:r>
                    </w:p>
                  </w:txbxContent>
                </v:textbox>
                <w10:wrap type="none"/>
              </v:shape>
              <v:shape style="position:absolute;left:4327;top:423;width:1017;height:816" type="#_x0000_t202" filled="false" stroked="false">
                <v:textbox inset="0,0,0,0">
                  <w:txbxContent>
                    <w:p>
                      <w:pPr>
                        <w:spacing w:line="203" w:lineRule="exact" w:before="0"/>
                        <w:ind w:left="0" w:right="0" w:firstLine="0"/>
                        <w:jc w:val="left"/>
                        <w:rPr>
                          <w:rFonts w:ascii="Calibri" w:hAnsi="Calibri" w:cs="Calibri" w:eastAsia="Calibri" w:hint="default"/>
                          <w:sz w:val="20"/>
                          <w:szCs w:val="20"/>
                        </w:rPr>
                      </w:pPr>
                      <w:r>
                        <w:rPr>
                          <w:rFonts w:ascii="Calibri"/>
                          <w:sz w:val="20"/>
                        </w:rPr>
                        <w:t>1,975</w:t>
                      </w:r>
                    </w:p>
                    <w:p>
                      <w:pPr>
                        <w:spacing w:before="27"/>
                        <w:ind w:left="352" w:right="0" w:firstLine="0"/>
                        <w:jc w:val="left"/>
                        <w:rPr>
                          <w:rFonts w:ascii="Calibri" w:hAnsi="Calibri" w:cs="Calibri" w:eastAsia="Calibri" w:hint="default"/>
                          <w:sz w:val="20"/>
                          <w:szCs w:val="20"/>
                        </w:rPr>
                      </w:pPr>
                      <w:r>
                        <w:rPr>
                          <w:rFonts w:ascii="Calibri"/>
                          <w:sz w:val="20"/>
                        </w:rPr>
                        <w:t>1,893</w:t>
                      </w:r>
                    </w:p>
                    <w:p>
                      <w:pPr>
                        <w:spacing w:line="240" w:lineRule="exact" w:before="101"/>
                        <w:ind w:left="561" w:right="0" w:firstLine="0"/>
                        <w:jc w:val="left"/>
                        <w:rPr>
                          <w:rFonts w:ascii="Calibri" w:hAnsi="Calibri" w:cs="Calibri" w:eastAsia="Calibri" w:hint="default"/>
                          <w:sz w:val="20"/>
                          <w:szCs w:val="20"/>
                        </w:rPr>
                      </w:pPr>
                      <w:r>
                        <w:rPr>
                          <w:rFonts w:ascii="Calibri"/>
                          <w:sz w:val="20"/>
                        </w:rPr>
                        <w:t>1,242</w:t>
                      </w:r>
                    </w:p>
                  </w:txbxContent>
                </v:textbox>
                <w10:wrap type="none"/>
              </v:shape>
              <v:shape style="position:absolute;left:2213;top:1459;width:1271;height:895" type="#_x0000_t202" filled="false" stroked="false">
                <v:textbox inset="0,0,0,0">
                  <w:txbxContent>
                    <w:p>
                      <w:pPr>
                        <w:spacing w:line="209" w:lineRule="exact" w:before="0"/>
                        <w:ind w:left="0" w:right="0" w:firstLine="0"/>
                        <w:jc w:val="left"/>
                        <w:rPr>
                          <w:rFonts w:ascii="Calibri" w:hAnsi="Calibri" w:cs="Calibri" w:eastAsia="Calibri" w:hint="default"/>
                          <w:sz w:val="20"/>
                          <w:szCs w:val="20"/>
                        </w:rPr>
                      </w:pPr>
                      <w:r>
                        <w:rPr>
                          <w:rFonts w:ascii="Calibri"/>
                          <w:sz w:val="20"/>
                        </w:rPr>
                        <w:t>388</w:t>
                      </w:r>
                      <w:r>
                        <w:rPr>
                          <w:rFonts w:ascii="Calibri"/>
                          <w:spacing w:val="29"/>
                          <w:sz w:val="20"/>
                        </w:rPr>
                        <w:t> </w:t>
                      </w:r>
                      <w:r>
                        <w:rPr>
                          <w:rFonts w:ascii="Calibri"/>
                          <w:position w:val="-3"/>
                          <w:sz w:val="20"/>
                        </w:rPr>
                        <w:t>239</w:t>
                      </w:r>
                      <w:r>
                        <w:rPr>
                          <w:rFonts w:ascii="Calibri"/>
                          <w:sz w:val="20"/>
                        </w:rPr>
                      </w:r>
                    </w:p>
                    <w:p>
                      <w:pPr>
                        <w:spacing w:line="290" w:lineRule="exact" w:before="0"/>
                        <w:ind w:left="672" w:right="0" w:firstLine="0"/>
                        <w:jc w:val="left"/>
                        <w:rPr>
                          <w:rFonts w:ascii="Calibri" w:hAnsi="Calibri" w:cs="Calibri" w:eastAsia="Calibri" w:hint="default"/>
                          <w:sz w:val="20"/>
                          <w:szCs w:val="20"/>
                        </w:rPr>
                      </w:pPr>
                      <w:r>
                        <w:rPr>
                          <w:rFonts w:ascii="Calibri"/>
                          <w:position w:val="-2"/>
                          <w:sz w:val="20"/>
                        </w:rPr>
                        <w:t>5 </w:t>
                      </w:r>
                      <w:r>
                        <w:rPr>
                          <w:rFonts w:ascii="Calibri"/>
                          <w:spacing w:val="1"/>
                          <w:position w:val="-2"/>
                          <w:sz w:val="20"/>
                        </w:rPr>
                        <w:t> </w:t>
                      </w:r>
                      <w:r>
                        <w:rPr>
                          <w:rFonts w:ascii="Calibri"/>
                          <w:position w:val="5"/>
                          <w:sz w:val="20"/>
                        </w:rPr>
                        <w:t>12</w:t>
                      </w:r>
                      <w:r>
                        <w:rPr>
                          <w:rFonts w:ascii="Calibri"/>
                          <w:spacing w:val="-2"/>
                          <w:position w:val="5"/>
                          <w:sz w:val="20"/>
                        </w:rPr>
                        <w:t> </w:t>
                      </w:r>
                      <w:r>
                        <w:rPr>
                          <w:rFonts w:ascii="Times New Roman"/>
                          <w:spacing w:val="-2"/>
                          <w:sz w:val="20"/>
                        </w:rPr>
                      </w:r>
                      <w:r>
                        <w:rPr>
                          <w:rFonts w:ascii="Times New Roman"/>
                          <w:spacing w:val="-2"/>
                          <w:sz w:val="20"/>
                          <w:u w:val="single" w:color="4BACC6"/>
                        </w:rPr>
                        <w:t> </w:t>
                      </w:r>
                      <w:r>
                        <w:rPr>
                          <w:rFonts w:ascii="Calibri"/>
                          <w:sz w:val="20"/>
                          <w:u w:val="single" w:color="4BACC6"/>
                        </w:rPr>
                        <w:t>16</w:t>
                      </w:r>
                      <w:r>
                        <w:rPr>
                          <w:rFonts w:ascii="Calibri"/>
                          <w:sz w:val="20"/>
                        </w:rPr>
                      </w:r>
                    </w:p>
                    <w:p>
                      <w:pPr>
                        <w:spacing w:line="262" w:lineRule="exact" w:before="134"/>
                        <w:ind w:left="324" w:right="0" w:firstLine="0"/>
                        <w:jc w:val="left"/>
                        <w:rPr>
                          <w:rFonts w:ascii="宋体" w:hAnsi="宋体" w:cs="宋体" w:eastAsia="宋体" w:hint="default"/>
                          <w:sz w:val="20"/>
                          <w:szCs w:val="20"/>
                        </w:rPr>
                      </w:pPr>
                      <w:r>
                        <w:rPr>
                          <w:rFonts w:ascii="宋体" w:hAnsi="宋体" w:cs="宋体" w:eastAsia="宋体" w:hint="default"/>
                          <w:sz w:val="20"/>
                          <w:szCs w:val="20"/>
                        </w:rPr>
                        <w:t>创世漫道</w:t>
                      </w:r>
                    </w:p>
                  </w:txbxContent>
                </v:textbox>
                <w10:wrap type="none"/>
              </v:shape>
              <v:shape style="position:absolute;left:3639;top:1394;width:304;height:199"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w w:val="95"/>
                          <w:sz w:val="20"/>
                        </w:rPr>
                        <w:t>488</w:t>
                      </w:r>
                      <w:r>
                        <w:rPr>
                          <w:rFonts w:ascii="Calibri"/>
                          <w:sz w:val="20"/>
                        </w:rPr>
                      </w:r>
                    </w:p>
                  </w:txbxContent>
                </v:textbox>
                <w10:wrap type="none"/>
              </v:shape>
              <v:shape style="position:absolute;left:7136;top:306;width:904;height:1392" type="#_x0000_t202" filled="false" stroked="false">
                <v:textbox inset="0,0,0,0">
                  <w:txbxContent>
                    <w:p>
                      <w:pPr>
                        <w:spacing w:line="179"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本科及以上</w:t>
                      </w:r>
                    </w:p>
                    <w:p>
                      <w:pPr>
                        <w:spacing w:line="309" w:lineRule="auto" w:before="67"/>
                        <w:ind w:left="0" w:right="540" w:firstLine="0"/>
                        <w:jc w:val="both"/>
                        <w:rPr>
                          <w:rFonts w:ascii="宋体" w:hAnsi="宋体" w:cs="宋体" w:eastAsia="宋体" w:hint="default"/>
                          <w:sz w:val="18"/>
                          <w:szCs w:val="18"/>
                        </w:rPr>
                      </w:pPr>
                      <w:r>
                        <w:rPr>
                          <w:rFonts w:ascii="宋体" w:hAnsi="宋体" w:cs="宋体" w:eastAsia="宋体" w:hint="default"/>
                          <w:sz w:val="18"/>
                          <w:szCs w:val="18"/>
                        </w:rPr>
                        <w:t>大专</w:t>
                      </w:r>
                      <w:r>
                        <w:rPr>
                          <w:rFonts w:ascii="宋体" w:hAnsi="宋体" w:cs="宋体" w:eastAsia="宋体" w:hint="default"/>
                          <w:w w:val="100"/>
                          <w:sz w:val="18"/>
                          <w:szCs w:val="18"/>
                        </w:rPr>
                        <w:t> </w:t>
                      </w:r>
                      <w:r>
                        <w:rPr>
                          <w:rFonts w:ascii="宋体" w:hAnsi="宋体" w:cs="宋体" w:eastAsia="宋体" w:hint="default"/>
                          <w:sz w:val="18"/>
                          <w:szCs w:val="18"/>
                        </w:rPr>
                        <w:t>中专</w:t>
                      </w:r>
                      <w:r>
                        <w:rPr>
                          <w:rFonts w:ascii="宋体" w:hAnsi="宋体" w:cs="宋体" w:eastAsia="宋体" w:hint="default"/>
                          <w:w w:val="100"/>
                          <w:sz w:val="18"/>
                          <w:szCs w:val="18"/>
                        </w:rPr>
                        <w:t> </w:t>
                      </w:r>
                      <w:r>
                        <w:rPr>
                          <w:rFonts w:ascii="宋体" w:hAnsi="宋体" w:cs="宋体" w:eastAsia="宋体" w:hint="default"/>
                          <w:sz w:val="18"/>
                          <w:szCs w:val="18"/>
                        </w:rPr>
                        <w:t>高中</w:t>
                      </w:r>
                    </w:p>
                    <w:p>
                      <w:pPr>
                        <w:spacing w:before="14"/>
                        <w:ind w:left="0" w:right="0" w:firstLine="0"/>
                        <w:jc w:val="both"/>
                        <w:rPr>
                          <w:rFonts w:ascii="宋体" w:hAnsi="宋体" w:cs="宋体" w:eastAsia="宋体" w:hint="default"/>
                          <w:sz w:val="18"/>
                          <w:szCs w:val="18"/>
                        </w:rPr>
                      </w:pPr>
                      <w:r>
                        <w:rPr>
                          <w:rFonts w:ascii="宋体" w:hAnsi="宋体" w:cs="宋体" w:eastAsia="宋体" w:hint="default"/>
                          <w:sz w:val="18"/>
                          <w:szCs w:val="18"/>
                        </w:rPr>
                        <w:t>高中以下</w:t>
                      </w:r>
                    </w:p>
                  </w:txbxContent>
                </v:textbox>
                <w10:wrap type="none"/>
              </v:shape>
              <v:shape style="position:absolute;left:3917;top:2155;width:801;height:199"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长实通信</w:t>
                      </w:r>
                    </w:p>
                  </w:txbxContent>
                </v:textbox>
                <w10:wrap type="none"/>
              </v:shape>
            </v:group>
          </v:group>
        </w:pict>
      </w:r>
      <w:r>
        <w:rPr>
          <w:rFonts w:ascii="宋体" w:hAnsi="宋体" w:cs="宋体" w:eastAsia="宋体" w:hint="default"/>
          <w:position w:val="-50"/>
          <w:sz w:val="20"/>
          <w:szCs w:val="20"/>
        </w:rPr>
      </w:r>
    </w:p>
    <w:p>
      <w:pPr>
        <w:spacing w:line="240" w:lineRule="auto" w:before="4"/>
        <w:rPr>
          <w:rFonts w:ascii="宋体" w:hAnsi="宋体" w:cs="宋体" w:eastAsia="宋体" w:hint="default"/>
          <w:sz w:val="29"/>
          <w:szCs w:val="29"/>
        </w:rPr>
      </w:pPr>
    </w:p>
    <w:p>
      <w:pPr>
        <w:pStyle w:val="BodyText"/>
        <w:spacing w:line="273" w:lineRule="auto" w:before="36"/>
        <w:ind w:left="393" w:right="342" w:firstLine="420"/>
        <w:jc w:val="left"/>
      </w:pPr>
      <w:r>
        <w:rPr>
          <w:spacing w:val="-14"/>
          <w:w w:val="100"/>
        </w:rPr>
        <w:t>二、员工薪酬政策：遵守《劳动法》、《劳动合同法》、《社会保险法》等适用法律法规规章规定，</w:t>
      </w:r>
      <w:r>
        <w:rPr>
          <w:w w:val="100"/>
        </w:rPr>
        <w:t> </w:t>
      </w:r>
      <w:r>
        <w:rPr>
          <w:spacing w:val="-5"/>
        </w:rPr>
        <w:t>维护员工薪酬、社会保险统筹、带薪休假等合法权益，建立健全相关薪酬制度，以公司增利为前提，</w:t>
      </w:r>
      <w:r>
        <w:rPr>
          <w:spacing w:val="-18"/>
        </w:rPr>
        <w:t> </w:t>
      </w:r>
      <w:r>
        <w:rPr>
          <w:spacing w:val="-18"/>
        </w:rPr>
      </w:r>
      <w:r>
        <w:rPr/>
        <w:t>以现有员工薪酬总额为基础，以兼顾公司与员工利益为导向，随着公司收入和盈利的提升，逐步提</w:t>
      </w:r>
      <w:r>
        <w:rPr>
          <w:w w:val="100"/>
        </w:rPr>
        <w:t> </w:t>
      </w:r>
      <w:r>
        <w:rPr/>
        <w:t>高员工薪酬总水平，让员工能够分享公司发展成长的经营成果。</w:t>
      </w:r>
    </w:p>
    <w:p>
      <w:pPr>
        <w:spacing w:after="0" w:line="273" w:lineRule="auto"/>
        <w:jc w:val="left"/>
        <w:sectPr>
          <w:footerReference w:type="default" r:id="rId46"/>
          <w:pgSz w:w="11910" w:h="16840"/>
          <w:pgMar w:footer="1570" w:header="884" w:top="1140" w:bottom="1760" w:left="1080" w:right="960"/>
        </w:sectPr>
      </w:pPr>
    </w:p>
    <w:p>
      <w:pPr>
        <w:pStyle w:val="BodyText"/>
        <w:spacing w:line="273" w:lineRule="auto" w:before="131"/>
        <w:ind w:left="393" w:right="450"/>
        <w:jc w:val="both"/>
      </w:pPr>
      <w:r>
        <w:rPr>
          <w:spacing w:val="-2"/>
        </w:rPr>
        <w:t>与操作能力、团结互助等科目，组织员工培训，以法律法规、公司制度、工作规程、岗位职责、文</w:t>
      </w:r>
      <w:r>
        <w:rPr>
          <w:spacing w:val="-43"/>
        </w:rPr>
        <w:t> </w:t>
      </w:r>
      <w:r>
        <w:rPr>
          <w:spacing w:val="-43"/>
        </w:rPr>
      </w:r>
      <w:r>
        <w:rPr>
          <w:spacing w:val="-2"/>
        </w:rPr>
        <w:t>明道德、经营与管理情况、安全保障、技能技巧、先进实践、案例经典等为培训教材和内容，采取</w:t>
      </w:r>
      <w:r>
        <w:rPr>
          <w:spacing w:val="-49"/>
        </w:rPr>
        <w:t> </w:t>
      </w:r>
      <w:r>
        <w:rPr>
          <w:spacing w:val="-49"/>
        </w:rPr>
      </w:r>
      <w:r>
        <w:rPr>
          <w:spacing w:val="-2"/>
        </w:rPr>
        <w:t>组织与自学、课堂与现场、理论与实际等结合方式，以公司、分(子)公司、部室班组为单位，利用</w:t>
      </w:r>
      <w:r>
        <w:rPr>
          <w:spacing w:val="-47"/>
        </w:rPr>
        <w:t> </w:t>
      </w:r>
      <w:r>
        <w:rPr>
          <w:spacing w:val="-47"/>
        </w:rPr>
      </w:r>
      <w:r>
        <w:rPr>
          <w:spacing w:val="-2"/>
        </w:rPr>
        <w:t>讲座、考试、各类活动、网站、网络、广播、字幕等形式，面向不同岗位、不同专业、不同责任的</w:t>
      </w:r>
      <w:r>
        <w:rPr>
          <w:spacing w:val="-46"/>
        </w:rPr>
        <w:t> </w:t>
      </w:r>
      <w:r>
        <w:rPr>
          <w:spacing w:val="-46"/>
        </w:rPr>
      </w:r>
      <w:r>
        <w:rPr/>
        <w:t>员工，在年度内得到一次以上的培训。</w:t>
      </w:r>
    </w:p>
    <w:p>
      <w:pPr>
        <w:spacing w:line="240" w:lineRule="auto" w:before="6"/>
        <w:rPr>
          <w:rFonts w:ascii="宋体" w:hAnsi="宋体" w:cs="宋体" w:eastAsia="宋体" w:hint="default"/>
          <w:sz w:val="24"/>
          <w:szCs w:val="24"/>
        </w:rPr>
      </w:pPr>
    </w:p>
    <w:p>
      <w:pPr>
        <w:pStyle w:val="BodyText"/>
        <w:spacing w:line="273" w:lineRule="auto" w:before="0"/>
        <w:ind w:left="393" w:right="450" w:firstLine="420"/>
        <w:jc w:val="both"/>
      </w:pPr>
      <w:r>
        <w:rPr/>
        <w:t>四</w:t>
      </w:r>
      <w:r>
        <w:rPr>
          <w:spacing w:val="-68"/>
        </w:rPr>
        <w:t> </w:t>
      </w:r>
      <w:r>
        <w:rPr/>
        <w:t>、</w:t>
      </w:r>
      <w:r>
        <w:rPr>
          <w:spacing w:val="-69"/>
        </w:rPr>
        <w:t> </w:t>
      </w:r>
      <w:r>
        <w:rPr/>
        <w:t>公</w:t>
      </w:r>
      <w:r>
        <w:rPr>
          <w:spacing w:val="-68"/>
        </w:rPr>
        <w:t> </w:t>
      </w:r>
      <w:r>
        <w:rPr/>
        <w:t>司</w:t>
      </w:r>
      <w:r>
        <w:rPr>
          <w:spacing w:val="-68"/>
        </w:rPr>
        <w:t> </w:t>
      </w:r>
      <w:r>
        <w:rPr/>
        <w:t>全</w:t>
      </w:r>
      <w:r>
        <w:rPr>
          <w:spacing w:val="-68"/>
        </w:rPr>
        <w:t> </w:t>
      </w:r>
      <w:r>
        <w:rPr/>
        <w:t>资</w:t>
      </w:r>
      <w:r>
        <w:rPr>
          <w:spacing w:val="-71"/>
        </w:rPr>
        <w:t> </w:t>
      </w:r>
      <w:r>
        <w:rPr/>
        <w:t>子</w:t>
      </w:r>
      <w:r>
        <w:rPr>
          <w:spacing w:val="-68"/>
        </w:rPr>
        <w:t> </w:t>
      </w:r>
      <w:r>
        <w:rPr/>
        <w:t>公</w:t>
      </w:r>
      <w:r>
        <w:rPr>
          <w:spacing w:val="-68"/>
        </w:rPr>
        <w:t> </w:t>
      </w:r>
      <w:r>
        <w:rPr/>
        <w:t>司</w:t>
      </w:r>
      <w:r>
        <w:rPr>
          <w:spacing w:val="-71"/>
        </w:rPr>
        <w:t> </w:t>
      </w:r>
      <w:r>
        <w:rPr/>
        <w:t>长</w:t>
      </w:r>
      <w:r>
        <w:rPr>
          <w:spacing w:val="-68"/>
        </w:rPr>
        <w:t> </w:t>
      </w:r>
      <w:r>
        <w:rPr/>
        <w:t>实</w:t>
      </w:r>
      <w:r>
        <w:rPr>
          <w:spacing w:val="-68"/>
        </w:rPr>
        <w:t> </w:t>
      </w:r>
      <w:r>
        <w:rPr/>
        <w:t>通</w:t>
      </w:r>
      <w:r>
        <w:rPr>
          <w:spacing w:val="-68"/>
        </w:rPr>
        <w:t> </w:t>
      </w:r>
      <w:r>
        <w:rPr/>
        <w:t>信</w:t>
      </w:r>
      <w:r>
        <w:rPr>
          <w:spacing w:val="-68"/>
        </w:rPr>
        <w:t> </w:t>
      </w:r>
      <w:r>
        <w:rPr/>
        <w:t>涉</w:t>
      </w:r>
      <w:r>
        <w:rPr>
          <w:spacing w:val="-68"/>
        </w:rPr>
        <w:t> </w:t>
      </w:r>
      <w:r>
        <w:rPr/>
        <w:t>及</w:t>
      </w:r>
      <w:r>
        <w:rPr>
          <w:spacing w:val="-71"/>
        </w:rPr>
        <w:t> </w:t>
      </w:r>
      <w:r>
        <w:rPr/>
        <w:t>劳</w:t>
      </w:r>
      <w:r>
        <w:rPr>
          <w:spacing w:val="-68"/>
        </w:rPr>
        <w:t> </w:t>
      </w:r>
      <w:r>
        <w:rPr/>
        <w:t>务</w:t>
      </w:r>
      <w:r>
        <w:rPr>
          <w:spacing w:val="-68"/>
        </w:rPr>
        <w:t> </w:t>
      </w:r>
      <w:r>
        <w:rPr/>
        <w:t>外</w:t>
      </w:r>
      <w:r>
        <w:rPr>
          <w:spacing w:val="-71"/>
        </w:rPr>
        <w:t> </w:t>
      </w:r>
      <w:r>
        <w:rPr/>
        <w:t>包</w:t>
      </w:r>
      <w:r>
        <w:rPr>
          <w:spacing w:val="-68"/>
        </w:rPr>
        <w:t> </w:t>
      </w:r>
      <w:r>
        <w:rPr/>
        <w:t>，</w:t>
      </w:r>
      <w:r>
        <w:rPr>
          <w:spacing w:val="-69"/>
        </w:rPr>
        <w:t> </w:t>
      </w:r>
      <w:r>
        <w:rPr/>
        <w:t>报</w:t>
      </w:r>
      <w:r>
        <w:rPr>
          <w:spacing w:val="-68"/>
        </w:rPr>
        <w:t> </w:t>
      </w:r>
      <w:r>
        <w:rPr/>
        <w:t>告</w:t>
      </w:r>
      <w:r>
        <w:rPr>
          <w:spacing w:val="-68"/>
        </w:rPr>
        <w:t> </w:t>
      </w:r>
      <w:r>
        <w:rPr/>
        <w:t>期</w:t>
      </w:r>
      <w:r>
        <w:rPr>
          <w:spacing w:val="-68"/>
        </w:rPr>
        <w:t> </w:t>
      </w:r>
      <w:r>
        <w:rPr/>
        <w:t>劳</w:t>
      </w:r>
      <w:r>
        <w:rPr>
          <w:spacing w:val="-71"/>
        </w:rPr>
        <w:t> </w:t>
      </w:r>
      <w:r>
        <w:rPr/>
        <w:t>务</w:t>
      </w:r>
      <w:r>
        <w:rPr>
          <w:spacing w:val="-68"/>
        </w:rPr>
        <w:t> </w:t>
      </w:r>
      <w:r>
        <w:rPr/>
        <w:t>外</w:t>
      </w:r>
      <w:r>
        <w:rPr>
          <w:spacing w:val="-68"/>
        </w:rPr>
        <w:t> </w:t>
      </w:r>
      <w:r>
        <w:rPr/>
        <w:t>包</w:t>
      </w:r>
      <w:r>
        <w:rPr>
          <w:spacing w:val="-71"/>
        </w:rPr>
        <w:t> </w:t>
      </w:r>
      <w:r>
        <w:rPr/>
        <w:t>支</w:t>
      </w:r>
      <w:r>
        <w:rPr>
          <w:spacing w:val="-68"/>
        </w:rPr>
        <w:t> </w:t>
      </w:r>
      <w:r>
        <w:rPr/>
        <w:t>付</w:t>
      </w:r>
      <w:r>
        <w:rPr>
          <w:spacing w:val="-68"/>
        </w:rPr>
        <w:t> </w:t>
      </w:r>
      <w:r>
        <w:rPr/>
        <w:t>的</w:t>
      </w:r>
      <w:r>
        <w:rPr>
          <w:spacing w:val="-68"/>
        </w:rPr>
        <w:t> </w:t>
      </w:r>
      <w:r>
        <w:rPr/>
        <w:t>报</w:t>
      </w:r>
      <w:r>
        <w:rPr>
          <w:spacing w:val="-68"/>
        </w:rPr>
        <w:t> </w:t>
      </w:r>
      <w:r>
        <w:rPr/>
        <w:t>酬</w:t>
      </w:r>
      <w:r>
        <w:rPr>
          <w:spacing w:val="-68"/>
        </w:rPr>
        <w:t> </w:t>
      </w:r>
      <w:r>
        <w:rPr/>
        <w:t>总</w:t>
      </w:r>
      <w:r>
        <w:rPr>
          <w:spacing w:val="-71"/>
        </w:rPr>
        <w:t> </w:t>
      </w:r>
      <w:r>
        <w:rPr/>
        <w:t>额</w:t>
      </w:r>
      <w:r>
        <w:rPr>
          <w:spacing w:val="-68"/>
        </w:rPr>
        <w:t> </w:t>
      </w:r>
      <w:r>
        <w:rPr/>
        <w:t>为</w:t>
      </w:r>
      <w:r>
        <w:rPr>
          <w:w w:val="100"/>
        </w:rPr>
        <w:t> </w:t>
      </w:r>
      <w:r>
        <w:rPr/>
        <w:t>579,312,995.63 </w:t>
      </w:r>
      <w:r>
        <w:rPr>
          <w:spacing w:val="-4"/>
        </w:rPr>
        <w:t>元。因长实通信按约定的外包项目收入比例支付报酬，涉及不同省区，不掌握工时</w:t>
      </w:r>
      <w:r>
        <w:rPr>
          <w:spacing w:val="-92"/>
        </w:rPr>
        <w:t> </w:t>
      </w:r>
      <w:r>
        <w:rPr>
          <w:spacing w:val="-92"/>
        </w:rPr>
      </w:r>
      <w:r>
        <w:rPr/>
        <w:t>情况，因此不能估算劳务外包的工时总数。</w:t>
      </w:r>
    </w:p>
    <w:p>
      <w:pPr>
        <w:spacing w:line="240" w:lineRule="auto" w:before="4"/>
        <w:rPr>
          <w:rFonts w:ascii="宋体" w:hAnsi="宋体" w:cs="宋体" w:eastAsia="宋体" w:hint="default"/>
          <w:sz w:val="29"/>
          <w:szCs w:val="29"/>
        </w:rPr>
      </w:pPr>
    </w:p>
    <w:p>
      <w:pPr>
        <w:tabs>
          <w:tab w:pos="1286" w:val="left" w:leader="none"/>
        </w:tabs>
        <w:spacing w:before="0"/>
        <w:ind w:left="0" w:right="66" w:firstLine="0"/>
        <w:jc w:val="center"/>
        <w:rPr>
          <w:rFonts w:ascii="宋体" w:hAnsi="宋体" w:cs="宋体" w:eastAsia="宋体" w:hint="default"/>
          <w:sz w:val="32"/>
          <w:szCs w:val="32"/>
        </w:rPr>
      </w:pPr>
      <w:r>
        <w:rPr>
          <w:rFonts w:ascii="宋体" w:hAnsi="宋体" w:cs="宋体" w:eastAsia="宋体" w:hint="default"/>
          <w:b/>
          <w:bCs/>
          <w:w w:val="95"/>
          <w:sz w:val="32"/>
          <w:szCs w:val="32"/>
        </w:rPr>
        <w:t>第八章</w:t>
        <w:tab/>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9"/>
        <w:rPr>
          <w:rFonts w:ascii="宋体" w:hAnsi="宋体" w:cs="宋体" w:eastAsia="宋体" w:hint="default"/>
          <w:b/>
          <w:bCs/>
          <w:sz w:val="34"/>
          <w:szCs w:val="34"/>
        </w:rPr>
      </w:pPr>
    </w:p>
    <w:p>
      <w:pPr>
        <w:pStyle w:val="BodyText"/>
        <w:spacing w:line="273" w:lineRule="auto" w:before="0"/>
        <w:ind w:left="813" w:right="342"/>
        <w:jc w:val="left"/>
      </w:pPr>
      <w:r>
        <w:rPr/>
        <w:t>一、公司治理的基本状况</w:t>
      </w:r>
      <w:r>
        <w:rPr>
          <w:w w:val="100"/>
        </w:rPr>
        <w:t> </w:t>
      </w:r>
      <w:r>
        <w:rPr>
          <w:spacing w:val="-2"/>
        </w:rPr>
        <w:t>依据有关法律、行政法规、部门规章和规范性文件的要求，公司建立起治理结构并持续完善且</w:t>
      </w:r>
    </w:p>
    <w:p>
      <w:pPr>
        <w:pStyle w:val="BodyText"/>
        <w:spacing w:line="273" w:lineRule="auto"/>
        <w:ind w:left="393" w:right="450"/>
        <w:jc w:val="both"/>
      </w:pPr>
      <w:r>
        <w:rPr>
          <w:spacing w:val="-2"/>
        </w:rPr>
        <w:t>规范运作。公司的“三会一层”各司其职，协调运转，有效制衡；公司董事、监事、高级管理人员</w:t>
      </w:r>
      <w:r>
        <w:rPr>
          <w:spacing w:val="-46"/>
        </w:rPr>
        <w:t> </w:t>
      </w:r>
      <w:r>
        <w:rPr>
          <w:spacing w:val="-46"/>
        </w:rPr>
      </w:r>
      <w:r>
        <w:rPr>
          <w:spacing w:val="-2"/>
        </w:rPr>
        <w:t>及各位员工的行为和各控股公司、分公司、职能部门的业务规程，受到以公司章程为根本的制度体</w:t>
      </w:r>
      <w:r>
        <w:rPr>
          <w:spacing w:val="-46"/>
        </w:rPr>
        <w:t> </w:t>
      </w:r>
      <w:r>
        <w:rPr>
          <w:spacing w:val="-46"/>
        </w:rPr>
      </w:r>
      <w:r>
        <w:rPr>
          <w:spacing w:val="-2"/>
        </w:rPr>
        <w:t>系的约束。本公司治理的有效性在于：比照控股股东、实际控制人规范第一大股东及其最终控制人</w:t>
      </w:r>
      <w:r>
        <w:rPr>
          <w:spacing w:val="-50"/>
        </w:rPr>
        <w:t> </w:t>
      </w:r>
      <w:r>
        <w:rPr>
          <w:spacing w:val="-50"/>
        </w:rPr>
      </w:r>
      <w:r>
        <w:rPr>
          <w:spacing w:val="-2"/>
        </w:rPr>
        <w:t>及其控制的其他企业的行为，确保所有股东，特别是中小股东享有平等地位，充分行使权利；明确</w:t>
      </w:r>
      <w:r>
        <w:rPr>
          <w:spacing w:val="-42"/>
        </w:rPr>
        <w:t> </w:t>
      </w:r>
      <w:r>
        <w:rPr>
          <w:spacing w:val="-42"/>
        </w:rPr>
      </w:r>
      <w:r>
        <w:rPr>
          <w:spacing w:val="-2"/>
        </w:rPr>
        <w:t>“三会一层”的职责并得到切实执行；合理保证公司经营管理合法合规、资产安全、财务报告及相</w:t>
      </w:r>
      <w:r>
        <w:rPr>
          <w:spacing w:val="-46"/>
        </w:rPr>
        <w:t> </w:t>
      </w:r>
      <w:r>
        <w:rPr>
          <w:spacing w:val="-46"/>
        </w:rPr>
      </w:r>
      <w:r>
        <w:rPr>
          <w:spacing w:val="-2"/>
        </w:rPr>
        <w:t>关信息真实完整，提高经营效率和效果，促进公司实现发展战略，促进财务管理、重大投资、关联</w:t>
      </w:r>
      <w:r>
        <w:rPr>
          <w:spacing w:val="-52"/>
        </w:rPr>
        <w:t> </w:t>
      </w:r>
      <w:r>
        <w:rPr>
          <w:spacing w:val="-52"/>
        </w:rPr>
      </w:r>
      <w:r>
        <w:rPr>
          <w:spacing w:val="-2"/>
        </w:rPr>
        <w:t>交易、子公司管控和其他内部治理工作的深入，促进健全内部约束机制和责任追究机制，促进完善</w:t>
      </w:r>
      <w:r>
        <w:rPr>
          <w:spacing w:val="-46"/>
        </w:rPr>
        <w:t> </w:t>
      </w:r>
      <w:r>
        <w:rPr>
          <w:spacing w:val="-46"/>
        </w:rPr>
      </w:r>
      <w:r>
        <w:rPr>
          <w:spacing w:val="-2"/>
        </w:rPr>
        <w:t>信息披露与增加透明度，促进持续尊重债权人、职工、消费者、供应商、社区等利益相关者的合法</w:t>
      </w:r>
      <w:r>
        <w:rPr>
          <w:spacing w:val="-47"/>
        </w:rPr>
        <w:t> </w:t>
      </w:r>
      <w:r>
        <w:rPr>
          <w:spacing w:val="-47"/>
        </w:rPr>
      </w:r>
      <w:r>
        <w:rPr/>
        <w:t>权利，促进持续关注环境保护、节能降耗、公益事业等社会责任。</w:t>
      </w:r>
    </w:p>
    <w:p>
      <w:pPr>
        <w:pStyle w:val="BodyText"/>
        <w:spacing w:line="240" w:lineRule="auto"/>
        <w:ind w:left="813" w:right="342"/>
        <w:jc w:val="left"/>
      </w:pPr>
      <w:r>
        <w:rPr/>
        <w:t>公司治理的实际状况与中国证监会发布的有关上市公司治理的规范性文件不存在重大差异。</w:t>
      </w:r>
    </w:p>
    <w:p>
      <w:pPr>
        <w:spacing w:line="240" w:lineRule="auto" w:before="10"/>
        <w:rPr>
          <w:rFonts w:ascii="宋体" w:hAnsi="宋体" w:cs="宋体" w:eastAsia="宋体" w:hint="default"/>
          <w:sz w:val="14"/>
          <w:szCs w:val="14"/>
        </w:rPr>
      </w:pPr>
    </w:p>
    <w:p>
      <w:pPr>
        <w:pStyle w:val="BodyText"/>
        <w:spacing w:line="273" w:lineRule="auto" w:before="0"/>
        <w:ind w:left="393" w:right="342" w:firstLine="420"/>
        <w:jc w:val="left"/>
      </w:pPr>
      <w:r>
        <w:rPr>
          <w:spacing w:val="-2"/>
        </w:rPr>
        <w:t>二、公司与第一大股东鹰溪谷在业务、人员、资产、机构、财务等方面完全分开，具有独立完</w:t>
      </w:r>
      <w:r>
        <w:rPr>
          <w:w w:val="100"/>
        </w:rPr>
        <w:t> </w:t>
      </w:r>
      <w:r>
        <w:rPr/>
        <w:t>整的业务及自主经营能力。</w:t>
      </w:r>
    </w:p>
    <w:p>
      <w:pPr>
        <w:pStyle w:val="BodyText"/>
        <w:tabs>
          <w:tab w:pos="2916" w:val="left" w:leader="none"/>
          <w:tab w:pos="3964" w:val="left" w:leader="none"/>
        </w:tabs>
        <w:spacing w:line="240" w:lineRule="auto" w:before="164"/>
        <w:ind w:left="813" w:right="1174"/>
        <w:jc w:val="left"/>
      </w:pPr>
      <w:r>
        <w:rPr>
          <w:spacing w:val="-2"/>
        </w:rPr>
        <w:t>三、同业竞争情况</w:t>
        <w:tab/>
      </w:r>
      <w:r>
        <w:rPr/>
        <w:t>□</w:t>
      </w:r>
      <w:r>
        <w:rPr>
          <w:spacing w:val="-2"/>
        </w:rPr>
        <w:t> </w:t>
      </w:r>
      <w:r>
        <w:rPr/>
        <w:t>适用</w:t>
        <w:tab/>
        <w:t>√</w:t>
      </w:r>
      <w:r>
        <w:rPr>
          <w:spacing w:val="2"/>
        </w:rPr>
        <w:t> </w:t>
      </w:r>
      <w:r>
        <w:rPr>
          <w:spacing w:val="-1"/>
        </w:rPr>
        <w:t>不适用</w:t>
      </w:r>
    </w:p>
    <w:p>
      <w:pPr>
        <w:spacing w:line="240" w:lineRule="auto" w:before="10"/>
        <w:rPr>
          <w:rFonts w:ascii="宋体" w:hAnsi="宋体" w:cs="宋体" w:eastAsia="宋体" w:hint="default"/>
          <w:sz w:val="14"/>
          <w:szCs w:val="14"/>
        </w:rPr>
      </w:pPr>
    </w:p>
    <w:p>
      <w:pPr>
        <w:pStyle w:val="BodyText"/>
        <w:spacing w:line="273" w:lineRule="auto" w:before="0"/>
        <w:ind w:left="813" w:right="1174"/>
        <w:jc w:val="left"/>
      </w:pPr>
      <w:r>
        <w:rPr>
          <w:spacing w:val="-2"/>
        </w:rPr>
        <w:t>四、报告期内召开的年度股东大会、临时股东大会的有关情况</w:t>
      </w:r>
      <w:r>
        <w:rPr>
          <w:spacing w:val="-52"/>
        </w:rPr>
        <w:t> </w:t>
      </w:r>
      <w:r>
        <w:rPr>
          <w:spacing w:val="-52"/>
        </w:rPr>
      </w:r>
      <w:r>
        <w:rPr/>
        <w:t>1、本报告期股东大会情况：</w:t>
      </w:r>
    </w:p>
    <w:p>
      <w:pPr>
        <w:pStyle w:val="BodyText"/>
        <w:spacing w:line="240" w:lineRule="auto"/>
        <w:ind w:left="813" w:right="1174"/>
        <w:jc w:val="left"/>
      </w:pPr>
      <w:r>
        <w:rPr/>
        <w:t>报告期内，公司召开了</w:t>
      </w:r>
      <w:r>
        <w:rPr>
          <w:spacing w:val="-52"/>
        </w:rPr>
        <w:t> </w:t>
      </w:r>
      <w:r>
        <w:rPr/>
        <w:t>1</w:t>
      </w:r>
      <w:r>
        <w:rPr>
          <w:spacing w:val="-54"/>
        </w:rPr>
        <w:t> </w:t>
      </w:r>
      <w:r>
        <w:rPr/>
        <w:t>次年度股东大会，2</w:t>
      </w:r>
      <w:r>
        <w:rPr>
          <w:spacing w:val="-54"/>
        </w:rPr>
        <w:t> </w:t>
      </w:r>
      <w:r>
        <w:rPr/>
        <w:t>次临时股东大会，有关情况见下表：</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418"/>
        <w:gridCol w:w="1560"/>
        <w:gridCol w:w="708"/>
        <w:gridCol w:w="1985"/>
        <w:gridCol w:w="2124"/>
        <w:gridCol w:w="1843"/>
      </w:tblGrid>
      <w:tr>
        <w:trPr>
          <w:trHeight w:val="322" w:hRule="exact"/>
        </w:trPr>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召开日期</w:t>
            </w:r>
          </w:p>
        </w:tc>
      </w:tr>
      <w:tr>
        <w:trPr>
          <w:trHeight w:val="324" w:hRule="exact"/>
        </w:trPr>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临时</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63.93%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2017-03-31</w:t>
            </w:r>
          </w:p>
        </w:tc>
      </w:tr>
      <w:tr>
        <w:trPr>
          <w:trHeight w:val="322" w:hRule="exact"/>
        </w:trPr>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52.47%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2017-06-09</w:t>
            </w:r>
          </w:p>
        </w:tc>
      </w:tr>
      <w:tr>
        <w:trPr>
          <w:trHeight w:val="322" w:hRule="exact"/>
        </w:trPr>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临时</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52.45%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2017-07-11</w:t>
            </w:r>
          </w:p>
        </w:tc>
      </w:tr>
      <w:tr>
        <w:trPr>
          <w:trHeight w:val="322" w:hRule="exact"/>
        </w:trPr>
        <w:tc>
          <w:tcPr>
            <w:tcW w:w="9638"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查询索引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披露网站</w:t>
            </w:r>
          </w:p>
        </w:tc>
        <w:tc>
          <w:tcPr>
            <w:tcW w:w="66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418" w:type="dxa"/>
            <w:vMerge/>
            <w:tcBorders>
              <w:left w:val="single" w:sz="4" w:space="0" w:color="000000"/>
              <w:right w:val="single" w:sz="4" w:space="0" w:color="000000"/>
            </w:tcBorders>
          </w:tcPr>
          <w:p>
            <w:pP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会议决议公告名称(编号)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324" w:hRule="exact"/>
        </w:trPr>
        <w:tc>
          <w:tcPr>
            <w:tcW w:w="1418" w:type="dxa"/>
            <w:vMerge/>
            <w:tcBorders>
              <w:left w:val="single" w:sz="4" w:space="0" w:color="000000"/>
              <w:right w:val="single" w:sz="4" w:space="0" w:color="000000"/>
            </w:tcBorders>
          </w:tcPr>
          <w:p>
            <w:pP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pacing w:val="-1"/>
                <w:sz w:val="18"/>
                <w:szCs w:val="18"/>
              </w:rPr>
              <w:t> </w:t>
            </w:r>
            <w:r>
              <w:rPr>
                <w:rFonts w:ascii="宋体" w:hAnsi="宋体" w:cs="宋体" w:eastAsia="宋体" w:hint="default"/>
                <w:sz w:val="18"/>
                <w:szCs w:val="18"/>
              </w:rPr>
              <w:t>(公告编号：2017—26)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8" w:right="0"/>
              <w:jc w:val="left"/>
              <w:rPr>
                <w:rFonts w:ascii="宋体" w:hAnsi="宋体" w:cs="宋体" w:eastAsia="宋体" w:hint="default"/>
                <w:sz w:val="18"/>
                <w:szCs w:val="18"/>
              </w:rPr>
            </w:pPr>
            <w:r>
              <w:rPr>
                <w:rFonts w:ascii="宋体"/>
                <w:sz w:val="18"/>
              </w:rPr>
              <w:t>2016-04-01</w:t>
            </w:r>
          </w:p>
        </w:tc>
      </w:tr>
      <w:tr>
        <w:trPr>
          <w:trHeight w:val="322" w:hRule="exact"/>
        </w:trPr>
        <w:tc>
          <w:tcPr>
            <w:tcW w:w="1418" w:type="dxa"/>
            <w:vMerge/>
            <w:tcBorders>
              <w:left w:val="single" w:sz="4" w:space="0" w:color="000000"/>
              <w:right w:val="single" w:sz="4" w:space="0" w:color="000000"/>
            </w:tcBorders>
          </w:tcPr>
          <w:p>
            <w:pP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年度股东大会决议公告 (公告编号：2017—52)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sz w:val="18"/>
              </w:rPr>
              <w:t>2017-06-10</w:t>
            </w:r>
          </w:p>
        </w:tc>
      </w:tr>
      <w:tr>
        <w:trPr>
          <w:trHeight w:val="322" w:hRule="exact"/>
        </w:trPr>
        <w:tc>
          <w:tcPr>
            <w:tcW w:w="1418" w:type="dxa"/>
            <w:vMerge/>
            <w:tcBorders>
              <w:left w:val="single" w:sz="4" w:space="0" w:color="000000"/>
              <w:bottom w:val="single" w:sz="4" w:space="0" w:color="000000"/>
              <w:right w:val="single" w:sz="4" w:space="0" w:color="000000"/>
            </w:tcBorders>
          </w:tcPr>
          <w:p>
            <w:pP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pacing w:val="-1"/>
                <w:sz w:val="18"/>
                <w:szCs w:val="18"/>
              </w:rPr>
              <w:t> </w:t>
            </w:r>
            <w:r>
              <w:rPr>
                <w:rFonts w:ascii="宋体" w:hAnsi="宋体" w:cs="宋体" w:eastAsia="宋体" w:hint="default"/>
                <w:sz w:val="18"/>
                <w:szCs w:val="18"/>
              </w:rPr>
              <w:t>(公告编号：2017—63)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8" w:right="0"/>
              <w:jc w:val="left"/>
              <w:rPr>
                <w:rFonts w:ascii="宋体" w:hAnsi="宋体" w:cs="宋体" w:eastAsia="宋体" w:hint="default"/>
                <w:sz w:val="18"/>
                <w:szCs w:val="18"/>
              </w:rPr>
            </w:pPr>
            <w:r>
              <w:rPr>
                <w:rFonts w:ascii="宋体"/>
                <w:sz w:val="18"/>
              </w:rPr>
              <w:t>2017-07-12</w:t>
            </w:r>
          </w:p>
        </w:tc>
      </w:tr>
    </w:tbl>
    <w:p>
      <w:pPr>
        <w:spacing w:line="240" w:lineRule="auto" w:before="2"/>
        <w:rPr>
          <w:rFonts w:ascii="宋体" w:hAnsi="宋体" w:cs="宋体" w:eastAsia="宋体" w:hint="default"/>
          <w:sz w:val="20"/>
          <w:szCs w:val="20"/>
        </w:rPr>
      </w:pPr>
    </w:p>
    <w:p>
      <w:pPr>
        <w:pStyle w:val="BodyText"/>
        <w:tabs>
          <w:tab w:pos="6590" w:val="left" w:leader="none"/>
        </w:tabs>
        <w:spacing w:line="240" w:lineRule="auto" w:before="36"/>
        <w:ind w:left="813" w:right="1174"/>
        <w:jc w:val="left"/>
      </w:pPr>
      <w:r>
        <w:rPr>
          <w:spacing w:val="-2"/>
        </w:rPr>
        <w:t>2、表决权恢复的优先股股东请求召开临时股东大会：□适用</w:t>
        <w:tab/>
      </w:r>
      <w:r>
        <w:rPr>
          <w:spacing w:val="-1"/>
        </w:rPr>
        <w:t>√不适用</w:t>
      </w:r>
    </w:p>
    <w:p>
      <w:pPr>
        <w:spacing w:after="0" w:line="240" w:lineRule="auto"/>
        <w:jc w:val="left"/>
        <w:sectPr>
          <w:footerReference w:type="default" r:id="rId51"/>
          <w:pgSz w:w="11910" w:h="16840"/>
          <w:pgMar w:footer="1000" w:header="884" w:top="1140" w:bottom="1200" w:left="1080" w:right="960"/>
          <w:pgNumType w:start="58"/>
        </w:sectPr>
      </w:pPr>
    </w:p>
    <w:p>
      <w:pPr>
        <w:pStyle w:val="BodyText"/>
        <w:spacing w:line="240" w:lineRule="auto" w:before="131"/>
        <w:ind w:left="813" w:right="1174"/>
        <w:jc w:val="left"/>
      </w:pPr>
      <w:r>
        <w:rPr/>
        <w:t>五、报告期内独立董事履行职责的情况</w:t>
      </w:r>
    </w:p>
    <w:p>
      <w:pPr>
        <w:pStyle w:val="BodyText"/>
        <w:spacing w:line="273" w:lineRule="auto" w:before="37"/>
        <w:ind w:left="393" w:right="445" w:firstLine="420"/>
        <w:jc w:val="left"/>
      </w:pPr>
      <w:r>
        <w:rPr/>
        <w:t>1、报告期公司召开了</w:t>
      </w:r>
      <w:r>
        <w:rPr>
          <w:spacing w:val="-42"/>
        </w:rPr>
        <w:t> </w:t>
      </w:r>
      <w:r>
        <w:rPr/>
        <w:t>15</w:t>
      </w:r>
      <w:r>
        <w:rPr>
          <w:spacing w:val="-44"/>
        </w:rPr>
        <w:t> </w:t>
      </w:r>
      <w:r>
        <w:rPr/>
        <w:t>次董事会、3</w:t>
      </w:r>
      <w:r>
        <w:rPr>
          <w:spacing w:val="-42"/>
        </w:rPr>
        <w:t> </w:t>
      </w:r>
      <w:r>
        <w:rPr/>
        <w:t>次股东大会，独立董事出席董事会及股东大会的情况见</w:t>
      </w:r>
      <w:r>
        <w:rPr>
          <w:w w:val="100"/>
        </w:rPr>
        <w:t> </w:t>
      </w:r>
      <w:r>
        <w:rPr/>
        <w:t>下表</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46"/>
        <w:gridCol w:w="1488"/>
        <w:gridCol w:w="994"/>
        <w:gridCol w:w="1418"/>
        <w:gridCol w:w="991"/>
        <w:gridCol w:w="991"/>
        <w:gridCol w:w="1560"/>
        <w:gridCol w:w="850"/>
      </w:tblGrid>
      <w:tr>
        <w:trPr>
          <w:trHeight w:val="406" w:hRule="exact"/>
        </w:trPr>
        <w:tc>
          <w:tcPr>
            <w:tcW w:w="13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74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5" w:right="0"/>
              <w:jc w:val="left"/>
              <w:rPr>
                <w:rFonts w:ascii="宋体" w:hAnsi="宋体" w:cs="宋体" w:eastAsia="宋体" w:hint="default"/>
                <w:sz w:val="18"/>
                <w:szCs w:val="18"/>
              </w:rPr>
            </w:pPr>
            <w:r>
              <w:rPr>
                <w:rFonts w:ascii="宋体" w:hAnsi="宋体" w:cs="宋体" w:eastAsia="宋体" w:hint="default"/>
                <w:sz w:val="18"/>
                <w:szCs w:val="18"/>
              </w:rPr>
              <w:t>独立董事出席董事会次数、方式</w:t>
            </w:r>
          </w:p>
        </w:tc>
        <w:tc>
          <w:tcPr>
            <w:tcW w:w="850" w:type="dxa"/>
            <w:vMerge w:val="restart"/>
            <w:tcBorders>
              <w:top w:val="single" w:sz="4" w:space="0" w:color="000000"/>
              <w:left w:val="single" w:sz="4" w:space="0" w:color="000000"/>
              <w:right w:val="single" w:sz="4" w:space="0" w:color="000000"/>
            </w:tcBorders>
          </w:tcPr>
          <w:p>
            <w:pPr>
              <w:pStyle w:val="TableParagraph"/>
              <w:spacing w:line="237" w:lineRule="auto" w:before="142"/>
              <w:ind w:left="103" w:right="98"/>
              <w:jc w:val="both"/>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42"/>
                <w:sz w:val="18"/>
                <w:szCs w:val="18"/>
              </w:rPr>
              <w:t> </w:t>
            </w:r>
            <w:r>
              <w:rPr>
                <w:rFonts w:ascii="宋体" w:hAnsi="宋体" w:cs="宋体" w:eastAsia="宋体" w:hint="default"/>
                <w:sz w:val="18"/>
                <w:szCs w:val="18"/>
              </w:rPr>
              <w:t>席</w:t>
            </w:r>
            <w:r>
              <w:rPr>
                <w:rFonts w:ascii="宋体" w:hAnsi="宋体" w:cs="宋体" w:eastAsia="宋体" w:hint="default"/>
                <w:spacing w:val="-42"/>
                <w:sz w:val="18"/>
                <w:szCs w:val="18"/>
              </w:rPr>
              <w:t> </w:t>
            </w:r>
            <w:r>
              <w:rPr>
                <w:rFonts w:ascii="宋体" w:hAnsi="宋体" w:cs="宋体" w:eastAsia="宋体" w:hint="default"/>
                <w:sz w:val="18"/>
                <w:szCs w:val="18"/>
              </w:rPr>
              <w:t>股</w:t>
            </w:r>
            <w:r>
              <w:rPr>
                <w:rFonts w:ascii="宋体" w:hAnsi="宋体" w:cs="宋体" w:eastAsia="宋体" w:hint="default"/>
                <w:sz w:val="18"/>
                <w:szCs w:val="18"/>
              </w:rPr>
              <w:t> 东</w:t>
            </w:r>
            <w:r>
              <w:rPr>
                <w:rFonts w:ascii="宋体" w:hAnsi="宋体" w:cs="宋体" w:eastAsia="宋体" w:hint="default"/>
                <w:spacing w:val="-42"/>
                <w:sz w:val="18"/>
                <w:szCs w:val="18"/>
              </w:rPr>
              <w:t> </w:t>
            </w:r>
            <w:r>
              <w:rPr>
                <w:rFonts w:ascii="宋体" w:hAnsi="宋体" w:cs="宋体" w:eastAsia="宋体" w:hint="default"/>
                <w:sz w:val="18"/>
                <w:szCs w:val="18"/>
              </w:rPr>
              <w:t>大</w:t>
            </w:r>
            <w:r>
              <w:rPr>
                <w:rFonts w:ascii="宋体" w:hAnsi="宋体" w:cs="宋体" w:eastAsia="宋体" w:hint="default"/>
                <w:spacing w:val="-42"/>
                <w:sz w:val="18"/>
                <w:szCs w:val="18"/>
              </w:rPr>
              <w:t> </w:t>
            </w:r>
            <w:r>
              <w:rPr>
                <w:rFonts w:ascii="宋体" w:hAnsi="宋体" w:cs="宋体" w:eastAsia="宋体" w:hint="default"/>
                <w:sz w:val="18"/>
                <w:szCs w:val="18"/>
              </w:rPr>
              <w:t>会</w:t>
            </w:r>
            <w:r>
              <w:rPr>
                <w:rFonts w:ascii="宋体" w:hAnsi="宋体" w:cs="宋体" w:eastAsia="宋体" w:hint="default"/>
                <w:sz w:val="18"/>
                <w:szCs w:val="18"/>
              </w:rPr>
              <w:t> 的次数</w:t>
            </w:r>
          </w:p>
        </w:tc>
      </w:tr>
      <w:tr>
        <w:trPr>
          <w:trHeight w:val="643" w:hRule="exact"/>
        </w:trPr>
        <w:tc>
          <w:tcPr>
            <w:tcW w:w="1346"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03" w:right="98"/>
              <w:jc w:val="left"/>
              <w:rPr>
                <w:rFonts w:ascii="宋体" w:hAnsi="宋体" w:cs="宋体" w:eastAsia="宋体" w:hint="default"/>
                <w:sz w:val="18"/>
                <w:szCs w:val="18"/>
              </w:rPr>
            </w:pPr>
            <w:r>
              <w:rPr>
                <w:rFonts w:ascii="宋体" w:hAnsi="宋体" w:cs="宋体" w:eastAsia="宋体" w:hint="default"/>
                <w:sz w:val="18"/>
                <w:szCs w:val="18"/>
              </w:rPr>
              <w:t>报告期应参加董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事会会次数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03" w:right="101"/>
              <w:jc w:val="left"/>
              <w:rPr>
                <w:rFonts w:ascii="宋体" w:hAnsi="宋体" w:cs="宋体" w:eastAsia="宋体" w:hint="default"/>
                <w:sz w:val="18"/>
                <w:szCs w:val="18"/>
              </w:rPr>
            </w:pPr>
            <w:r>
              <w:rPr>
                <w:rFonts w:ascii="宋体" w:hAnsi="宋体" w:cs="宋体" w:eastAsia="宋体" w:hint="default"/>
                <w:spacing w:val="14"/>
                <w:sz w:val="18"/>
                <w:szCs w:val="18"/>
              </w:rPr>
              <w:t>现场出席</w:t>
            </w:r>
            <w:r>
              <w:rPr>
                <w:rFonts w:ascii="宋体" w:hAnsi="宋体" w:cs="宋体" w:eastAsia="宋体" w:hint="default"/>
                <w:sz w:val="18"/>
                <w:szCs w:val="18"/>
              </w:rPr>
              <w:t> 次数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03" w:right="103"/>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66"/>
                <w:sz w:val="18"/>
                <w:szCs w:val="18"/>
              </w:rPr>
              <w:t> </w:t>
            </w:r>
            <w:r>
              <w:rPr>
                <w:rFonts w:ascii="宋体" w:hAnsi="宋体" w:cs="宋体" w:eastAsia="宋体" w:hint="default"/>
                <w:sz w:val="18"/>
                <w:szCs w:val="18"/>
              </w:rPr>
              <w:t>讯</w:t>
            </w:r>
            <w:r>
              <w:rPr>
                <w:rFonts w:ascii="宋体" w:hAnsi="宋体" w:cs="宋体" w:eastAsia="宋体" w:hint="default"/>
                <w:spacing w:val="-66"/>
                <w:sz w:val="18"/>
                <w:szCs w:val="18"/>
              </w:rPr>
              <w:t> </w:t>
            </w:r>
            <w:r>
              <w:rPr>
                <w:rFonts w:ascii="宋体" w:hAnsi="宋体" w:cs="宋体" w:eastAsia="宋体" w:hint="default"/>
                <w:sz w:val="18"/>
                <w:szCs w:val="18"/>
              </w:rPr>
              <w:t>方</w:t>
            </w:r>
            <w:r>
              <w:rPr>
                <w:rFonts w:ascii="宋体" w:hAnsi="宋体" w:cs="宋体" w:eastAsia="宋体" w:hint="default"/>
                <w:spacing w:val="-66"/>
                <w:sz w:val="18"/>
                <w:szCs w:val="18"/>
              </w:rPr>
              <w:t> </w:t>
            </w:r>
            <w:r>
              <w:rPr>
                <w:rFonts w:ascii="宋体" w:hAnsi="宋体" w:cs="宋体" w:eastAsia="宋体" w:hint="default"/>
                <w:sz w:val="18"/>
                <w:szCs w:val="18"/>
              </w:rPr>
              <w:t>式</w:t>
            </w:r>
            <w:r>
              <w:rPr>
                <w:rFonts w:ascii="宋体" w:hAnsi="宋体" w:cs="宋体" w:eastAsia="宋体" w:hint="default"/>
                <w:spacing w:val="-66"/>
                <w:sz w:val="18"/>
                <w:szCs w:val="18"/>
              </w:rPr>
              <w:t> </w:t>
            </w:r>
            <w:r>
              <w:rPr>
                <w:rFonts w:ascii="宋体" w:hAnsi="宋体" w:cs="宋体" w:eastAsia="宋体" w:hint="default"/>
                <w:sz w:val="18"/>
                <w:szCs w:val="18"/>
              </w:rPr>
              <w:t>参</w:t>
            </w:r>
            <w:r>
              <w:rPr>
                <w:rFonts w:ascii="宋体" w:hAnsi="宋体" w:cs="宋体" w:eastAsia="宋体" w:hint="default"/>
                <w:spacing w:val="-66"/>
                <w:sz w:val="18"/>
                <w:szCs w:val="18"/>
              </w:rPr>
              <w:t> </w:t>
            </w:r>
            <w:r>
              <w:rPr>
                <w:rFonts w:ascii="宋体" w:hAnsi="宋体" w:cs="宋体" w:eastAsia="宋体" w:hint="default"/>
                <w:sz w:val="18"/>
                <w:szCs w:val="18"/>
              </w:rPr>
              <w:t>会</w:t>
            </w:r>
            <w:r>
              <w:rPr>
                <w:rFonts w:ascii="宋体" w:hAnsi="宋体" w:cs="宋体" w:eastAsia="宋体" w:hint="default"/>
                <w:sz w:val="18"/>
                <w:szCs w:val="18"/>
              </w:rPr>
              <w:t> 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03" w:right="98"/>
              <w:jc w:val="left"/>
              <w:rPr>
                <w:rFonts w:ascii="宋体" w:hAnsi="宋体" w:cs="宋体" w:eastAsia="宋体" w:hint="default"/>
                <w:sz w:val="18"/>
                <w:szCs w:val="18"/>
              </w:rPr>
            </w:pPr>
            <w:r>
              <w:rPr>
                <w:rFonts w:ascii="宋体" w:hAnsi="宋体" w:cs="宋体" w:eastAsia="宋体" w:hint="default"/>
                <w:spacing w:val="14"/>
                <w:sz w:val="18"/>
                <w:szCs w:val="18"/>
              </w:rPr>
              <w:t>委托出席</w:t>
            </w:r>
            <w:r>
              <w:rPr>
                <w:rFonts w:ascii="宋体" w:hAnsi="宋体" w:cs="宋体" w:eastAsia="宋体" w:hint="default"/>
                <w:sz w:val="18"/>
                <w:szCs w:val="18"/>
              </w:rPr>
              <w:t> 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03" w:right="98"/>
              <w:jc w:val="left"/>
              <w:rPr>
                <w:rFonts w:ascii="宋体" w:hAnsi="宋体" w:cs="宋体" w:eastAsia="宋体" w:hint="default"/>
                <w:sz w:val="18"/>
                <w:szCs w:val="18"/>
              </w:rPr>
            </w:pPr>
            <w:r>
              <w:rPr>
                <w:rFonts w:ascii="宋体" w:hAnsi="宋体" w:cs="宋体" w:eastAsia="宋体" w:hint="default"/>
                <w:spacing w:val="12"/>
                <w:sz w:val="18"/>
                <w:szCs w:val="18"/>
              </w:rPr>
              <w:t>是否连续两次未</w:t>
            </w:r>
            <w:r>
              <w:rPr>
                <w:rFonts w:ascii="宋体" w:hAnsi="宋体" w:cs="宋体" w:eastAsia="宋体" w:hint="default"/>
                <w:sz w:val="18"/>
                <w:szCs w:val="18"/>
              </w:rPr>
              <w:t> 亲自参加会议</w:t>
            </w:r>
          </w:p>
        </w:tc>
        <w:tc>
          <w:tcPr>
            <w:tcW w:w="850" w:type="dxa"/>
            <w:vMerge/>
            <w:tcBorders>
              <w:left w:val="single" w:sz="4" w:space="0" w:color="000000"/>
              <w:bottom w:val="single" w:sz="4" w:space="0" w:color="000000"/>
              <w:right w:val="single" w:sz="4" w:space="0" w:color="000000"/>
            </w:tcBorders>
          </w:tcPr>
          <w:p>
            <w:pP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sz w:val="18"/>
              </w:rPr>
              <w:t>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徐小伍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1"/>
              <w:jc w:val="right"/>
              <w:rPr>
                <w:rFonts w:ascii="宋体" w:hAnsi="宋体" w:cs="宋体" w:eastAsia="宋体" w:hint="default"/>
                <w:sz w:val="18"/>
                <w:szCs w:val="18"/>
              </w:rPr>
            </w:pPr>
            <w:r>
              <w:rPr>
                <w:rFonts w:ascii="宋体"/>
                <w:sz w:val="18"/>
              </w:rPr>
              <w:t>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w:t>
            </w: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张天福</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1"/>
              <w:jc w:val="right"/>
              <w:rPr>
                <w:rFonts w:ascii="宋体" w:hAnsi="宋体" w:cs="宋体" w:eastAsia="宋体" w:hint="default"/>
                <w:sz w:val="18"/>
                <w:szCs w:val="18"/>
              </w:rPr>
            </w:pPr>
            <w:r>
              <w:rPr>
                <w:rFonts w:ascii="宋体"/>
                <w:sz w:val="18"/>
              </w:rPr>
              <w:t>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w:t>
            </w:r>
          </w:p>
        </w:tc>
      </w:tr>
      <w:tr>
        <w:trPr>
          <w:trHeight w:val="32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廖南钢</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9"/>
              <w:jc w:val="right"/>
              <w:rPr>
                <w:rFonts w:ascii="宋体" w:hAnsi="宋体" w:cs="宋体" w:eastAsia="宋体" w:hint="default"/>
                <w:sz w:val="18"/>
                <w:szCs w:val="18"/>
              </w:rPr>
            </w:pPr>
            <w:r>
              <w:rPr>
                <w:rFonts w:ascii="宋体"/>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20"/>
          <w:szCs w:val="20"/>
        </w:rPr>
      </w:pPr>
    </w:p>
    <w:p>
      <w:pPr>
        <w:pStyle w:val="BodyText"/>
        <w:spacing w:line="273" w:lineRule="auto" w:before="36"/>
        <w:ind w:left="813" w:right="1174"/>
        <w:jc w:val="left"/>
      </w:pPr>
      <w:r>
        <w:rPr/>
        <w:t>2、独立董事对公司有关事项提出异议的情况</w:t>
      </w:r>
      <w:r>
        <w:rPr>
          <w:w w:val="100"/>
        </w:rPr>
        <w:t> </w:t>
      </w:r>
      <w:r>
        <w:rPr>
          <w:spacing w:val="-2"/>
        </w:rPr>
        <w:t>报告期内独立董事对公司有关事项未提出异议。</w:t>
      </w:r>
    </w:p>
    <w:p>
      <w:pPr>
        <w:pStyle w:val="BodyText"/>
        <w:tabs>
          <w:tab w:pos="4387" w:val="left" w:leader="none"/>
        </w:tabs>
        <w:spacing w:line="273" w:lineRule="auto" w:before="164"/>
        <w:ind w:left="813" w:right="3323"/>
        <w:jc w:val="left"/>
      </w:pPr>
      <w:r>
        <w:rPr/>
        <w:t>3、独立董事履行职责的其他说明</w:t>
      </w:r>
      <w:r>
        <w:rPr>
          <w:w w:val="100"/>
        </w:rPr>
        <w:t> </w:t>
      </w:r>
      <w:r>
        <w:rPr/>
        <w:t>对公司有关建议是否被采纳：√</w:t>
      </w:r>
      <w:r>
        <w:rPr>
          <w:spacing w:val="1"/>
        </w:rPr>
        <w:t> </w:t>
      </w:r>
      <w:r>
        <w:rPr/>
        <w:t>是</w:t>
        <w:tab/>
        <w:t>□</w:t>
      </w:r>
      <w:r>
        <w:rPr>
          <w:spacing w:val="-2"/>
        </w:rPr>
        <w:t> </w:t>
      </w:r>
      <w:r>
        <w:rPr/>
        <w:t>否。</w:t>
      </w:r>
      <w:r>
        <w:rPr>
          <w:w w:val="100"/>
        </w:rPr>
        <w:t> </w:t>
      </w:r>
      <w:r>
        <w:rPr>
          <w:spacing w:val="-2"/>
        </w:rPr>
        <w:t>公司采纳了独立董事“2016</w:t>
      </w:r>
      <w:r>
        <w:rPr/>
        <w:t> </w:t>
      </w:r>
      <w:r>
        <w:rPr>
          <w:spacing w:val="-2"/>
        </w:rPr>
        <w:t>年度公司适度现金分红”的建议。</w:t>
      </w:r>
    </w:p>
    <w:p>
      <w:pPr>
        <w:spacing w:line="240" w:lineRule="auto" w:before="6"/>
        <w:rPr>
          <w:rFonts w:ascii="宋体" w:hAnsi="宋体" w:cs="宋体" w:eastAsia="宋体" w:hint="default"/>
          <w:sz w:val="24"/>
          <w:szCs w:val="24"/>
        </w:rPr>
      </w:pPr>
    </w:p>
    <w:p>
      <w:pPr>
        <w:pStyle w:val="BodyText"/>
        <w:spacing w:line="240" w:lineRule="auto" w:before="0"/>
        <w:ind w:left="813" w:right="1174"/>
        <w:jc w:val="left"/>
      </w:pPr>
      <w:r>
        <w:rPr/>
        <w:t>六、董事会下设专门委员会在报告期内履行职责情况</w:t>
      </w:r>
    </w:p>
    <w:p>
      <w:pPr>
        <w:pStyle w:val="BodyText"/>
        <w:spacing w:line="273" w:lineRule="auto" w:before="37"/>
        <w:ind w:left="393" w:right="444" w:firstLine="420"/>
        <w:jc w:val="left"/>
      </w:pPr>
      <w:r>
        <w:rPr/>
        <w:t>公司审计委员会对会计师事务所就公司 2016</w:t>
      </w:r>
      <w:r>
        <w:rPr>
          <w:spacing w:val="-22"/>
        </w:rPr>
        <w:t> </w:t>
      </w:r>
      <w:r>
        <w:rPr/>
        <w:t>年度的财务报告出具标准无保留意见的审计报告</w:t>
      </w:r>
      <w:r>
        <w:rPr>
          <w:w w:val="100"/>
        </w:rPr>
        <w:t> </w:t>
      </w:r>
      <w:r>
        <w:rPr/>
        <w:t>没有异议；提议续聘中兴华为公司</w:t>
      </w:r>
      <w:r>
        <w:rPr>
          <w:spacing w:val="-53"/>
        </w:rPr>
        <w:t> </w:t>
      </w:r>
      <w:r>
        <w:rPr/>
        <w:t>2017</w:t>
      </w:r>
      <w:r>
        <w:rPr>
          <w:spacing w:val="-56"/>
        </w:rPr>
        <w:t> </w:t>
      </w:r>
      <w:r>
        <w:rPr/>
        <w:t>年度审计机构。</w:t>
      </w:r>
    </w:p>
    <w:p>
      <w:pPr>
        <w:spacing w:line="240" w:lineRule="auto" w:before="6"/>
        <w:rPr>
          <w:rFonts w:ascii="宋体" w:hAnsi="宋体" w:cs="宋体" w:eastAsia="宋体" w:hint="default"/>
          <w:sz w:val="24"/>
          <w:szCs w:val="24"/>
        </w:rPr>
      </w:pPr>
    </w:p>
    <w:p>
      <w:pPr>
        <w:pStyle w:val="BodyText"/>
        <w:spacing w:line="273" w:lineRule="auto" w:before="0"/>
        <w:ind w:left="813" w:right="3143"/>
        <w:jc w:val="left"/>
      </w:pPr>
      <w:r>
        <w:rPr/>
        <w:t>七、公司监事会工作情况</w:t>
      </w:r>
      <w:r>
        <w:rPr>
          <w:w w:val="100"/>
        </w:rPr>
        <w:t> </w:t>
      </w:r>
      <w:r>
        <w:rPr>
          <w:spacing w:val="-2"/>
        </w:rPr>
        <w:t>公司监事会对报告期内的监督事项无异议。</w:t>
      </w:r>
    </w:p>
    <w:p>
      <w:pPr>
        <w:spacing w:line="240" w:lineRule="auto" w:before="6"/>
        <w:rPr>
          <w:rFonts w:ascii="宋体" w:hAnsi="宋体" w:cs="宋体" w:eastAsia="宋体" w:hint="default"/>
          <w:sz w:val="24"/>
          <w:szCs w:val="24"/>
        </w:rPr>
      </w:pPr>
    </w:p>
    <w:p>
      <w:pPr>
        <w:pStyle w:val="BodyText"/>
        <w:spacing w:line="273" w:lineRule="auto" w:before="0"/>
        <w:ind w:left="813" w:right="342"/>
        <w:jc w:val="left"/>
      </w:pPr>
      <w:r>
        <w:rPr/>
        <w:t>八、公司高级管理人员的考评及激励情况</w:t>
      </w:r>
      <w:r>
        <w:rPr>
          <w:w w:val="100"/>
        </w:rPr>
        <w:t> </w:t>
      </w:r>
      <w:r>
        <w:rPr>
          <w:spacing w:val="-2"/>
        </w:rPr>
        <w:t>董事会根据公司经营工作开展及经营目标实现情况考评经理层，公司总裁代表经理层向董事会</w:t>
      </w:r>
    </w:p>
    <w:p>
      <w:pPr>
        <w:pStyle w:val="BodyText"/>
        <w:spacing w:line="273" w:lineRule="auto"/>
        <w:ind w:left="393" w:right="450"/>
        <w:jc w:val="both"/>
      </w:pPr>
      <w:r>
        <w:rPr/>
        <w:t>报告工作情况，公司董事会对经理层 2017</w:t>
      </w:r>
      <w:r>
        <w:rPr>
          <w:spacing w:val="-23"/>
        </w:rPr>
        <w:t> </w:t>
      </w:r>
      <w:r>
        <w:rPr/>
        <w:t>年度的工作予以肯定。公司董事会建立起基本薪酬加绩</w:t>
      </w:r>
      <w:r>
        <w:rPr>
          <w:w w:val="100"/>
        </w:rPr>
        <w:t> </w:t>
      </w:r>
      <w:r>
        <w:rPr>
          <w:spacing w:val="-2"/>
        </w:rPr>
        <w:t>效薪酬、绩效薪酬与年度经营业绩挂钩的激励制度，并按制度实施。公司将借鉴其他上市公司的成</w:t>
      </w:r>
      <w:r>
        <w:rPr>
          <w:spacing w:val="-47"/>
        </w:rPr>
        <w:t> </w:t>
      </w:r>
      <w:r>
        <w:rPr>
          <w:spacing w:val="-47"/>
        </w:rPr>
      </w:r>
      <w:r>
        <w:rPr/>
        <w:t>功经验，结合公司实际情况，继续完善激励机制。</w:t>
      </w:r>
    </w:p>
    <w:p>
      <w:pPr>
        <w:pStyle w:val="BodyText"/>
        <w:spacing w:line="273" w:lineRule="auto" w:before="164"/>
        <w:ind w:left="813" w:right="3143"/>
        <w:jc w:val="left"/>
      </w:pPr>
      <w:r>
        <w:rPr/>
        <w:t>九、公司内部控制情况</w:t>
      </w:r>
      <w:r>
        <w:rPr>
          <w:w w:val="100"/>
        </w:rPr>
        <w:t> </w:t>
      </w:r>
      <w:r>
        <w:rPr>
          <w:spacing w:val="-2"/>
        </w:rPr>
        <w:t>1、报告期内未发现公司内部控制重大缺陷。</w:t>
      </w:r>
    </w:p>
    <w:p>
      <w:pPr>
        <w:pStyle w:val="BodyText"/>
        <w:spacing w:line="240" w:lineRule="auto"/>
        <w:ind w:left="813" w:right="1174"/>
        <w:jc w:val="left"/>
      </w:pPr>
      <w:r>
        <w:rPr/>
        <w:t>2、内控自我评价报告</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91"/>
        <w:gridCol w:w="1843"/>
        <w:gridCol w:w="3970"/>
        <w:gridCol w:w="2834"/>
      </w:tblGrid>
      <w:tr>
        <w:trPr>
          <w:trHeight w:val="322"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指定网站：巨潮资讯网，标题：公司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年度内部控制评价报告</w:t>
            </w:r>
          </w:p>
        </w:tc>
      </w:tr>
      <w:tr>
        <w:trPr>
          <w:trHeight w:val="478"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纳入评价范围单位资产总额占公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司合并财务报表资产总额的比例</w:t>
            </w:r>
          </w:p>
        </w:tc>
        <w:tc>
          <w:tcPr>
            <w:tcW w:w="6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r>
      <w:tr>
        <w:trPr>
          <w:trHeight w:val="478"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纳入评价范围单位营业收入占公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司合并财务报表营业收入的比例</w:t>
            </w:r>
          </w:p>
        </w:tc>
        <w:tc>
          <w:tcPr>
            <w:tcW w:w="6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w:t>
            </w:r>
          </w:p>
        </w:tc>
      </w:tr>
      <w:tr>
        <w:trPr>
          <w:trHeight w:val="322" w:hRule="exact"/>
        </w:trPr>
        <w:tc>
          <w:tcPr>
            <w:tcW w:w="96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财务报告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1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5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1、重大缺陷</w:t>
            </w:r>
          </w:p>
          <w:p>
            <w:pPr>
              <w:pStyle w:val="TableParagraph"/>
              <w:spacing w:line="237" w:lineRule="auto" w:before="2"/>
              <w:ind w:left="105" w:right="98"/>
              <w:jc w:val="left"/>
              <w:rPr>
                <w:rFonts w:ascii="宋体" w:hAnsi="宋体" w:cs="宋体" w:eastAsia="宋体" w:hint="default"/>
                <w:sz w:val="18"/>
                <w:szCs w:val="18"/>
              </w:rPr>
            </w:pPr>
            <w:r>
              <w:rPr>
                <w:rFonts w:ascii="宋体" w:hAnsi="宋体" w:cs="宋体" w:eastAsia="宋体" w:hint="default"/>
                <w:sz w:val="18"/>
                <w:szCs w:val="18"/>
              </w:rPr>
              <w:t>出现下列特征，认定为重大缺陷： (1)董事、监事和高级管理人员舞弊；(2)对公司已经公告的财务报告出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现重大差错进行错报更正；(3)当期财务报告存在重大错报，而内部控制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在运行过程中未能发现该错报；(4)审计委员会以及内部审计部门对财务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报告内部控制的监督无效。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出现下列特征，认定为重大缺陷：</w:t>
            </w:r>
          </w:p>
          <w:p>
            <w:pPr>
              <w:pStyle w:val="TableParagraph"/>
              <w:spacing w:line="237" w:lineRule="auto" w:before="2"/>
              <w:ind w:left="103" w:right="99"/>
              <w:jc w:val="both"/>
              <w:rPr>
                <w:rFonts w:ascii="宋体" w:hAnsi="宋体" w:cs="宋体" w:eastAsia="宋体" w:hint="default"/>
                <w:sz w:val="18"/>
                <w:szCs w:val="18"/>
              </w:rPr>
            </w:pPr>
            <w:r>
              <w:rPr>
                <w:rFonts w:ascii="宋体" w:hAnsi="宋体" w:cs="宋体" w:eastAsia="宋体" w:hint="default"/>
                <w:spacing w:val="5"/>
                <w:sz w:val="18"/>
                <w:szCs w:val="18"/>
              </w:rPr>
              <w:t>(1)公司缺乏民主决策程序；(2)</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公司决策程序不科学导致重大失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误；(3)违反国家法律、法规；(4)</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核心管理人员或核心技术人员纷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纷流失；(5)媒体负面新闻频现，</w:t>
            </w:r>
          </w:p>
        </w:tc>
      </w:tr>
    </w:tbl>
    <w:p>
      <w:pPr>
        <w:spacing w:after="0" w:line="237" w:lineRule="auto"/>
        <w:jc w:val="both"/>
        <w:rPr>
          <w:rFonts w:ascii="宋体" w:hAnsi="宋体" w:cs="宋体" w:eastAsia="宋体" w:hint="default"/>
          <w:sz w:val="18"/>
          <w:szCs w:val="18"/>
        </w:rPr>
        <w:sectPr>
          <w:pgSz w:w="11910" w:h="16840"/>
          <w:pgMar w:header="884" w:footer="1000" w:top="1140" w:bottom="1200" w:left="1080" w:right="960"/>
        </w:sectPr>
      </w:pPr>
    </w:p>
    <w:p>
      <w:pPr>
        <w:spacing w:line="240" w:lineRule="auto" w:before="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991"/>
        <w:gridCol w:w="1702"/>
        <w:gridCol w:w="4111"/>
        <w:gridCol w:w="2834"/>
      </w:tblGrid>
      <w:tr>
        <w:trPr>
          <w:trHeight w:val="238" w:hRule="exact"/>
        </w:trPr>
        <w:tc>
          <w:tcPr>
            <w:tcW w:w="991" w:type="dxa"/>
            <w:vMerge w:val="restart"/>
            <w:tcBorders>
              <w:top w:val="single" w:sz="4" w:space="0" w:color="000000"/>
              <w:left w:val="single" w:sz="4" w:space="0" w:color="000000"/>
              <w:right w:val="single" w:sz="4" w:space="0" w:color="000000"/>
            </w:tcBorders>
          </w:tcPr>
          <w:p>
            <w:pPr/>
          </w:p>
        </w:tc>
        <w:tc>
          <w:tcPr>
            <w:tcW w:w="5813" w:type="dxa"/>
            <w:gridSpan w:val="2"/>
            <w:tcBorders>
              <w:top w:val="single" w:sz="4" w:space="0" w:color="000000"/>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2、重要缺陷</w:t>
            </w:r>
          </w:p>
        </w:tc>
        <w:tc>
          <w:tcPr>
            <w:tcW w:w="283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涉及面广且负面影响一直未能消</w:t>
            </w:r>
          </w:p>
        </w:tc>
      </w:tr>
      <w:tr>
        <w:trPr>
          <w:trHeight w:val="234"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出现下列特征，认定为重要缺陷：</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除；(6)内部控制评价的结果特别</w:t>
            </w:r>
          </w:p>
        </w:tc>
      </w:tr>
      <w:tr>
        <w:trPr>
          <w:trHeight w:val="233"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(1)未按照公认会计准则选择和应用会计政策；(2)未建立反舞弊程序和</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是重大或重要缺陷未得到整改；</w:t>
            </w:r>
          </w:p>
        </w:tc>
      </w:tr>
      <w:tr>
        <w:trPr>
          <w:trHeight w:val="234"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控制措施；(3)对于非常规或特殊交易的账务处理，没有建立相应的控制</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(7)公司重要业务缺乏制度控制或</w:t>
            </w:r>
          </w:p>
        </w:tc>
      </w:tr>
      <w:tr>
        <w:trPr>
          <w:trHeight w:val="234"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机制或没有实施且没有相应的补偿性控制</w:t>
            </w:r>
            <w:r>
              <w:rPr>
                <w:rFonts w:ascii="宋体" w:hAnsi="宋体" w:cs="宋体" w:eastAsia="宋体" w:hint="default"/>
                <w:spacing w:val="-75"/>
                <w:sz w:val="18"/>
                <w:szCs w:val="18"/>
              </w:rPr>
              <w:t>；</w:t>
            </w:r>
            <w:r>
              <w:rPr>
                <w:rFonts w:ascii="宋体" w:hAnsi="宋体" w:cs="宋体" w:eastAsia="宋体" w:hint="default"/>
                <w:spacing w:val="1"/>
                <w:sz w:val="18"/>
                <w:szCs w:val="18"/>
              </w:rPr>
              <w:t>(4)</w:t>
            </w:r>
            <w:r>
              <w:rPr>
                <w:rFonts w:ascii="宋体" w:hAnsi="宋体" w:cs="宋体" w:eastAsia="宋体" w:hint="default"/>
                <w:sz w:val="18"/>
                <w:szCs w:val="18"/>
              </w:rPr>
              <w:t>对于期末财</w:t>
            </w:r>
            <w:r>
              <w:rPr>
                <w:rFonts w:ascii="宋体" w:hAnsi="宋体" w:cs="宋体" w:eastAsia="宋体" w:hint="default"/>
                <w:spacing w:val="-3"/>
                <w:sz w:val="18"/>
                <w:szCs w:val="18"/>
              </w:rPr>
              <w:t>务</w:t>
            </w:r>
            <w:r>
              <w:rPr>
                <w:rFonts w:ascii="宋体" w:hAnsi="宋体" w:cs="宋体" w:eastAsia="宋体" w:hint="default"/>
                <w:sz w:val="18"/>
                <w:szCs w:val="18"/>
              </w:rPr>
              <w:t>报告过程的</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制度系统性失效</w:t>
            </w:r>
            <w:r>
              <w:rPr>
                <w:rFonts w:ascii="宋体" w:hAnsi="宋体" w:cs="宋体" w:eastAsia="宋体" w:hint="default"/>
                <w:spacing w:val="-82"/>
                <w:sz w:val="18"/>
                <w:szCs w:val="18"/>
              </w:rPr>
              <w:t>，</w:t>
            </w:r>
            <w:r>
              <w:rPr>
                <w:rFonts w:ascii="宋体" w:hAnsi="宋体" w:cs="宋体" w:eastAsia="宋体" w:hint="default"/>
                <w:sz w:val="18"/>
                <w:szCs w:val="18"/>
              </w:rPr>
              <w:t>重要的经济业务</w:t>
            </w:r>
          </w:p>
        </w:tc>
      </w:tr>
      <w:tr>
        <w:trPr>
          <w:trHeight w:val="233"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控制存在一项或多项缺陷，且不能合理保证编制的财务报表达到真实、</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虽有内控制度，但没有有效的运</w:t>
            </w:r>
          </w:p>
        </w:tc>
      </w:tr>
      <w:tr>
        <w:trPr>
          <w:trHeight w:val="233"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准确的目标。</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行；(8)公司遭受证监会处罚或证</w:t>
            </w:r>
          </w:p>
        </w:tc>
      </w:tr>
      <w:tr>
        <w:trPr>
          <w:trHeight w:val="234" w:hRule="exact"/>
        </w:trPr>
        <w:tc>
          <w:tcPr>
            <w:tcW w:w="991" w:type="dxa"/>
            <w:vMerge/>
            <w:tcBorders>
              <w:left w:val="single" w:sz="4" w:space="0" w:color="000000"/>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3、一般缺陷</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券交易所警告。</w:t>
            </w:r>
          </w:p>
        </w:tc>
      </w:tr>
      <w:tr>
        <w:trPr>
          <w:trHeight w:val="240" w:hRule="exact"/>
        </w:trPr>
        <w:tc>
          <w:tcPr>
            <w:tcW w:w="991" w:type="dxa"/>
            <w:vMerge/>
            <w:tcBorders>
              <w:left w:val="single" w:sz="4" w:space="0" w:color="000000"/>
              <w:bottom w:val="single" w:sz="4" w:space="0" w:color="000000"/>
              <w:right w:val="single" w:sz="4" w:space="0" w:color="000000"/>
            </w:tcBorders>
          </w:tcPr>
          <w:p>
            <w:pPr/>
          </w:p>
        </w:tc>
        <w:tc>
          <w:tcPr>
            <w:tcW w:w="5813" w:type="dxa"/>
            <w:gridSpan w:val="2"/>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不构成重大缺陷和重要缺陷的财务报告内部控制缺陷</w:t>
            </w:r>
            <w:r>
              <w:rPr>
                <w:rFonts w:ascii="宋体" w:hAnsi="宋体" w:cs="宋体" w:eastAsia="宋体" w:hint="default"/>
                <w:spacing w:val="-75"/>
                <w:sz w:val="18"/>
                <w:szCs w:val="18"/>
              </w:rPr>
              <w:t>，</w:t>
            </w:r>
            <w:r>
              <w:rPr>
                <w:rFonts w:ascii="宋体" w:hAnsi="宋体" w:cs="宋体" w:eastAsia="宋体" w:hint="default"/>
                <w:sz w:val="18"/>
                <w:szCs w:val="18"/>
              </w:rPr>
              <w:t>认定为一般缺陷。</w:t>
            </w:r>
          </w:p>
        </w:tc>
        <w:tc>
          <w:tcPr>
            <w:tcW w:w="2834"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991" w:type="dxa"/>
            <w:tcBorders>
              <w:top w:val="single" w:sz="4" w:space="0" w:color="000000"/>
              <w:left w:val="single" w:sz="4" w:space="0" w:color="000000"/>
              <w:bottom w:val="nil" w:sz="6" w:space="0" w:color="auto"/>
              <w:right w:val="single" w:sz="4" w:space="0" w:color="000000"/>
            </w:tcBorders>
          </w:tcPr>
          <w:p>
            <w:pPr/>
          </w:p>
        </w:tc>
        <w:tc>
          <w:tcPr>
            <w:tcW w:w="5813" w:type="dxa"/>
            <w:gridSpan w:val="2"/>
            <w:tcBorders>
              <w:top w:val="single" w:sz="4" w:space="0" w:color="000000"/>
              <w:left w:val="single" w:sz="4" w:space="0" w:color="000000"/>
              <w:bottom w:val="nil" w:sz="6" w:space="0" w:color="auto"/>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公司确定的财务报告内部控制缺陷评价的定量标准如下：</w:t>
            </w:r>
          </w:p>
        </w:tc>
        <w:tc>
          <w:tcPr>
            <w:tcW w:w="2834"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1、重大缺陷：利润错报金额≥利润总额的</w:t>
            </w:r>
            <w:r>
              <w:rPr>
                <w:rFonts w:ascii="宋体" w:hAnsi="宋体" w:cs="宋体" w:eastAsia="宋体" w:hint="default"/>
                <w:spacing w:val="-44"/>
                <w:sz w:val="18"/>
                <w:szCs w:val="18"/>
              </w:rPr>
              <w:t> </w:t>
            </w:r>
            <w:r>
              <w:rPr>
                <w:rFonts w:ascii="宋体" w:hAnsi="宋体" w:cs="宋体" w:eastAsia="宋体" w:hint="default"/>
                <w:spacing w:val="-1"/>
                <w:sz w:val="18"/>
                <w:szCs w:val="18"/>
              </w:rPr>
              <w:t>10%；资产错报金额≥资产总</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公司确定的非财务报告内部控制</w:t>
            </w:r>
          </w:p>
        </w:tc>
      </w:tr>
      <w:tr>
        <w:trPr>
          <w:trHeight w:val="234"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额的 </w:t>
            </w:r>
            <w:r>
              <w:rPr>
                <w:rFonts w:ascii="宋体" w:hAnsi="宋体" w:cs="宋体" w:eastAsia="宋体" w:hint="default"/>
                <w:spacing w:val="-3"/>
                <w:sz w:val="18"/>
                <w:szCs w:val="18"/>
              </w:rPr>
              <w:t>3%；经营收入错报金额≥经营收入总额</w:t>
            </w:r>
            <w:r>
              <w:rPr>
                <w:rFonts w:ascii="宋体" w:hAnsi="宋体" w:cs="宋体" w:eastAsia="宋体" w:hint="default"/>
                <w:spacing w:val="-64"/>
                <w:sz w:val="18"/>
                <w:szCs w:val="18"/>
              </w:rPr>
              <w:t> </w:t>
            </w:r>
            <w:r>
              <w:rPr>
                <w:rFonts w:ascii="宋体" w:hAnsi="宋体" w:cs="宋体" w:eastAsia="宋体" w:hint="default"/>
                <w:spacing w:val="-4"/>
                <w:sz w:val="18"/>
                <w:szCs w:val="18"/>
              </w:rPr>
              <w:t>5%；所有者权益错报金额≥</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缺陷评价的定量标准如下：</w:t>
            </w:r>
          </w:p>
        </w:tc>
      </w:tr>
      <w:tr>
        <w:trPr>
          <w:trHeight w:val="233"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所有者权益总额的</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1、重大缺陷：直接财产损失金额</w:t>
            </w:r>
          </w:p>
        </w:tc>
      </w:tr>
      <w:tr>
        <w:trPr>
          <w:trHeight w:val="233"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2、重要缺陷：利润错报金额≥利润总额的 5%，＜利润总额的</w:t>
            </w:r>
            <w:r>
              <w:rPr>
                <w:rFonts w:ascii="宋体" w:hAnsi="宋体" w:cs="宋体" w:eastAsia="宋体" w:hint="default"/>
                <w:spacing w:val="-62"/>
                <w:sz w:val="18"/>
                <w:szCs w:val="18"/>
              </w:rPr>
              <w:t> </w:t>
            </w:r>
            <w:r>
              <w:rPr>
                <w:rFonts w:ascii="宋体" w:hAnsi="宋体" w:cs="宋体" w:eastAsia="宋体" w:hint="default"/>
                <w:spacing w:val="-3"/>
                <w:sz w:val="18"/>
                <w:szCs w:val="18"/>
              </w:rPr>
              <w:t>10%；资产</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宋体" w:hAnsi="宋体" w:cs="宋体" w:eastAsia="宋体" w:hint="default"/>
                <w:sz w:val="18"/>
                <w:szCs w:val="18"/>
              </w:rPr>
              <w:t>10%。</w:t>
            </w:r>
          </w:p>
        </w:tc>
      </w:tr>
      <w:tr>
        <w:trPr>
          <w:trHeight w:val="234" w:hRule="exact"/>
        </w:trPr>
        <w:tc>
          <w:tcPr>
            <w:tcW w:w="99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错报金额≥资产总额的</w:t>
            </w:r>
            <w:r>
              <w:rPr>
                <w:rFonts w:ascii="宋体" w:hAnsi="宋体" w:cs="宋体" w:eastAsia="宋体" w:hint="default"/>
                <w:spacing w:val="-37"/>
                <w:sz w:val="18"/>
                <w:szCs w:val="18"/>
              </w:rPr>
              <w:t> </w:t>
            </w:r>
            <w:r>
              <w:rPr>
                <w:rFonts w:ascii="宋体" w:hAnsi="宋体" w:cs="宋体" w:eastAsia="宋体" w:hint="default"/>
                <w:spacing w:val="-4"/>
                <w:sz w:val="18"/>
                <w:szCs w:val="18"/>
              </w:rPr>
              <w:t>0.6%，＜资产总额的</w:t>
            </w:r>
            <w:r>
              <w:rPr>
                <w:rFonts w:ascii="宋体" w:hAnsi="宋体" w:cs="宋体" w:eastAsia="宋体" w:hint="default"/>
                <w:spacing w:val="-37"/>
                <w:sz w:val="18"/>
                <w:szCs w:val="18"/>
              </w:rPr>
              <w:t> </w:t>
            </w:r>
            <w:r>
              <w:rPr>
                <w:rFonts w:ascii="宋体" w:hAnsi="宋体" w:cs="宋体" w:eastAsia="宋体" w:hint="default"/>
                <w:spacing w:val="-4"/>
                <w:sz w:val="18"/>
                <w:szCs w:val="18"/>
              </w:rPr>
              <w:t>3%；经营收入错报金额≥经</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2、重要缺陷：直接财产损失金额</w:t>
            </w:r>
          </w:p>
        </w:tc>
      </w:tr>
      <w:tr>
        <w:trPr>
          <w:trHeight w:val="234"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营收入总额的</w:t>
            </w:r>
            <w:r>
              <w:rPr>
                <w:rFonts w:ascii="宋体" w:hAnsi="宋体" w:cs="宋体" w:eastAsia="宋体" w:hint="default"/>
                <w:spacing w:val="-39"/>
                <w:sz w:val="18"/>
                <w:szCs w:val="18"/>
              </w:rPr>
              <w:t> </w:t>
            </w:r>
            <w:r>
              <w:rPr>
                <w:rFonts w:ascii="宋体" w:hAnsi="宋体" w:cs="宋体" w:eastAsia="宋体" w:hint="default"/>
                <w:spacing w:val="-4"/>
                <w:sz w:val="18"/>
                <w:szCs w:val="18"/>
              </w:rPr>
              <w:t>2%，＜经营收入总额的</w:t>
            </w:r>
            <w:r>
              <w:rPr>
                <w:rFonts w:ascii="宋体" w:hAnsi="宋体" w:cs="宋体" w:eastAsia="宋体" w:hint="default"/>
                <w:spacing w:val="-39"/>
                <w:sz w:val="18"/>
                <w:szCs w:val="18"/>
              </w:rPr>
              <w:t> </w:t>
            </w:r>
            <w:r>
              <w:rPr>
                <w:rFonts w:ascii="宋体" w:hAnsi="宋体" w:cs="宋体" w:eastAsia="宋体" w:hint="default"/>
                <w:spacing w:val="-3"/>
                <w:sz w:val="18"/>
                <w:szCs w:val="18"/>
              </w:rPr>
              <w:t>5%；所有者权益错报金额≥所有者</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6"/>
                <w:sz w:val="18"/>
                <w:szCs w:val="18"/>
              </w:rPr>
              <w:t> </w:t>
            </w:r>
            <w:r>
              <w:rPr>
                <w:rFonts w:ascii="宋体" w:hAnsi="宋体" w:cs="宋体" w:eastAsia="宋体" w:hint="default"/>
                <w:sz w:val="18"/>
                <w:szCs w:val="18"/>
              </w:rPr>
              <w:t>5%，＜利润总额的</w:t>
            </w:r>
          </w:p>
        </w:tc>
      </w:tr>
      <w:tr>
        <w:trPr>
          <w:trHeight w:val="233"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权益总额的</w:t>
            </w:r>
            <w:r>
              <w:rPr>
                <w:rFonts w:ascii="宋体" w:hAnsi="宋体" w:cs="宋体" w:eastAsia="宋体" w:hint="default"/>
                <w:spacing w:val="-45"/>
                <w:sz w:val="18"/>
                <w:szCs w:val="18"/>
              </w:rPr>
              <w:t> </w:t>
            </w:r>
            <w:r>
              <w:rPr>
                <w:rFonts w:ascii="宋体" w:hAnsi="宋体" w:cs="宋体" w:eastAsia="宋体" w:hint="default"/>
                <w:sz w:val="18"/>
                <w:szCs w:val="18"/>
              </w:rPr>
              <w:t>2%，＜所有者权益总额的</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p>
        </w:tc>
      </w:tr>
      <w:tr>
        <w:trPr>
          <w:trHeight w:val="233"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3、一般缺陷：利润错报金额＜利润总额的</w:t>
            </w:r>
            <w:r>
              <w:rPr>
                <w:rFonts w:ascii="宋体" w:hAnsi="宋体" w:cs="宋体" w:eastAsia="宋体" w:hint="default"/>
                <w:spacing w:val="11"/>
                <w:sz w:val="18"/>
                <w:szCs w:val="18"/>
              </w:rPr>
              <w:t> </w:t>
            </w:r>
            <w:r>
              <w:rPr>
                <w:rFonts w:ascii="宋体" w:hAnsi="宋体" w:cs="宋体" w:eastAsia="宋体" w:hint="default"/>
                <w:sz w:val="18"/>
                <w:szCs w:val="18"/>
              </w:rPr>
              <w:t>5%；资产错报金额＜资产总</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3：一般缺陷：直接财产损失金额</w:t>
            </w:r>
          </w:p>
        </w:tc>
      </w:tr>
      <w:tr>
        <w:trPr>
          <w:trHeight w:val="234" w:hRule="exact"/>
        </w:trPr>
        <w:tc>
          <w:tcPr>
            <w:tcW w:w="991" w:type="dxa"/>
            <w:tcBorders>
              <w:top w:val="nil" w:sz="6" w:space="0" w:color="auto"/>
              <w:left w:val="single" w:sz="4" w:space="0" w:color="000000"/>
              <w:bottom w:val="nil" w:sz="6" w:space="0" w:color="auto"/>
              <w:right w:val="single" w:sz="4" w:space="0" w:color="000000"/>
            </w:tcBorders>
          </w:tcPr>
          <w:p>
            <w:pPr/>
          </w:p>
        </w:tc>
        <w:tc>
          <w:tcPr>
            <w:tcW w:w="5813" w:type="dxa"/>
            <w:gridSpan w:val="2"/>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63"/>
                <w:sz w:val="18"/>
                <w:szCs w:val="18"/>
              </w:rPr>
              <w:t> </w:t>
            </w:r>
            <w:r>
              <w:rPr>
                <w:rFonts w:ascii="宋体" w:hAnsi="宋体" w:cs="宋体" w:eastAsia="宋体" w:hint="default"/>
                <w:sz w:val="18"/>
                <w:szCs w:val="18"/>
              </w:rPr>
              <w:t>0.6%；经营收入错报金额＜经营收入总额的</w:t>
            </w:r>
            <w:r>
              <w:rPr>
                <w:rFonts w:ascii="宋体" w:hAnsi="宋体" w:cs="宋体" w:eastAsia="宋体" w:hint="default"/>
                <w:spacing w:val="-63"/>
                <w:sz w:val="18"/>
                <w:szCs w:val="18"/>
              </w:rPr>
              <w:t> </w:t>
            </w:r>
            <w:r>
              <w:rPr>
                <w:rFonts w:ascii="宋体" w:hAnsi="宋体" w:cs="宋体" w:eastAsia="宋体" w:hint="default"/>
                <w:spacing w:val="-4"/>
                <w:sz w:val="18"/>
                <w:szCs w:val="18"/>
              </w:rPr>
              <w:t>2%；所有者权益错报金</w:t>
            </w:r>
          </w:p>
        </w:tc>
        <w:tc>
          <w:tcPr>
            <w:tcW w:w="283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3"/>
                <w:sz w:val="18"/>
                <w:szCs w:val="18"/>
              </w:rPr>
              <w:t> </w:t>
            </w:r>
            <w:r>
              <w:rPr>
                <w:rFonts w:ascii="宋体" w:hAnsi="宋体" w:cs="宋体" w:eastAsia="宋体" w:hint="default"/>
                <w:sz w:val="18"/>
                <w:szCs w:val="18"/>
              </w:rPr>
              <w:t>5%。</w:t>
            </w:r>
          </w:p>
        </w:tc>
      </w:tr>
      <w:tr>
        <w:trPr>
          <w:trHeight w:val="240" w:hRule="exact"/>
        </w:trPr>
        <w:tc>
          <w:tcPr>
            <w:tcW w:w="991" w:type="dxa"/>
            <w:tcBorders>
              <w:top w:val="nil" w:sz="6" w:space="0" w:color="auto"/>
              <w:left w:val="single" w:sz="4" w:space="0" w:color="000000"/>
              <w:bottom w:val="single" w:sz="4" w:space="0" w:color="000000"/>
              <w:right w:val="single" w:sz="4" w:space="0" w:color="000000"/>
            </w:tcBorders>
          </w:tcPr>
          <w:p>
            <w:pPr/>
          </w:p>
        </w:tc>
        <w:tc>
          <w:tcPr>
            <w:tcW w:w="5813" w:type="dxa"/>
            <w:gridSpan w:val="2"/>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额＜所有者权益总额的</w:t>
            </w:r>
            <w:r>
              <w:rPr>
                <w:rFonts w:ascii="宋体" w:hAnsi="宋体" w:cs="宋体" w:eastAsia="宋体" w:hint="default"/>
                <w:spacing w:val="-43"/>
                <w:sz w:val="18"/>
                <w:szCs w:val="18"/>
              </w:rPr>
              <w:t> </w:t>
            </w:r>
            <w:r>
              <w:rPr>
                <w:rFonts w:ascii="宋体" w:hAnsi="宋体" w:cs="宋体" w:eastAsia="宋体" w:hint="default"/>
                <w:sz w:val="18"/>
                <w:szCs w:val="18"/>
              </w:rPr>
              <w:t>2%。</w:t>
            </w:r>
          </w:p>
        </w:tc>
        <w:tc>
          <w:tcPr>
            <w:tcW w:w="2834"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0</w:t>
            </w:r>
          </w:p>
        </w:tc>
      </w:tr>
      <w:tr>
        <w:trPr>
          <w:trHeight w:val="322"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0</w:t>
            </w:r>
          </w:p>
        </w:tc>
      </w:tr>
      <w:tr>
        <w:trPr>
          <w:trHeight w:val="322"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0</w:t>
            </w:r>
          </w:p>
        </w:tc>
      </w:tr>
      <w:tr>
        <w:trPr>
          <w:trHeight w:val="324" w:hRule="exact"/>
        </w:trPr>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20"/>
          <w:szCs w:val="20"/>
        </w:rPr>
      </w:pPr>
    </w:p>
    <w:p>
      <w:pPr>
        <w:pStyle w:val="BodyText"/>
        <w:spacing w:line="273" w:lineRule="auto" w:before="36"/>
        <w:ind w:left="813" w:right="342"/>
        <w:jc w:val="left"/>
      </w:pPr>
      <w:r>
        <w:rPr/>
        <w:t>十、内部控制审计报告</w:t>
      </w:r>
      <w:r>
        <w:rPr>
          <w:w w:val="100"/>
        </w:rPr>
        <w:t> </w:t>
      </w:r>
      <w:r>
        <w:rPr>
          <w:spacing w:val="-2"/>
        </w:rPr>
        <w:t>报告期内公司聘请会计师事务所对内部控制进行审计，中兴华出具了内部控制审计报告</w:t>
      </w:r>
    </w:p>
    <w:tbl>
      <w:tblPr>
        <w:tblW w:w="0" w:type="auto"/>
        <w:jc w:val="left"/>
        <w:tblInd w:w="105" w:type="dxa"/>
        <w:tblLayout w:type="fixed"/>
        <w:tblCellMar>
          <w:top w:w="0" w:type="dxa"/>
          <w:left w:w="0" w:type="dxa"/>
          <w:bottom w:w="0" w:type="dxa"/>
          <w:right w:w="0" w:type="dxa"/>
        </w:tblCellMar>
        <w:tblLook w:val="01E0"/>
      </w:tblPr>
      <w:tblGrid>
        <w:gridCol w:w="2693"/>
        <w:gridCol w:w="6946"/>
      </w:tblGrid>
      <w:tr>
        <w:trPr>
          <w:trHeight w:val="322"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521" w:hRule="exact"/>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21" w:right="19"/>
              <w:jc w:val="left"/>
              <w:rPr>
                <w:rFonts w:ascii="宋体" w:hAnsi="宋体" w:cs="宋体" w:eastAsia="宋体" w:hint="default"/>
                <w:sz w:val="18"/>
                <w:szCs w:val="18"/>
              </w:rPr>
            </w:pPr>
            <w:r>
              <w:rPr>
                <w:rFonts w:ascii="宋体" w:hAnsi="宋体" w:cs="宋体" w:eastAsia="宋体" w:hint="default"/>
                <w:sz w:val="18"/>
                <w:szCs w:val="18"/>
              </w:rPr>
              <w:t>我们认为，茂业通信网络股份有限公司于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日按照《企业内部控制基本规范》和相关规定在所有重大方面保</w:t>
            </w:r>
            <w:r>
              <w:rPr>
                <w:rFonts w:ascii="宋体" w:hAnsi="宋体" w:cs="宋体" w:eastAsia="宋体" w:hint="default"/>
                <w:sz w:val="18"/>
                <w:szCs w:val="18"/>
              </w:rPr>
              <w:t> 持了有效的财务报告内部控制。</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与本年报同日全文披露</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指定网站名称：巨潮资讯网，标题：茂业通信网络股份有限公司内部控制审计报告</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32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21"/>
          <w:szCs w:val="21"/>
        </w:rPr>
      </w:pPr>
    </w:p>
    <w:p>
      <w:pPr>
        <w:pStyle w:val="BodyText"/>
        <w:tabs>
          <w:tab w:pos="7116" w:val="left" w:leader="none"/>
        </w:tabs>
        <w:spacing w:line="240" w:lineRule="auto" w:before="36"/>
        <w:ind w:left="813" w:right="1174"/>
        <w:jc w:val="left"/>
      </w:pPr>
      <w:r>
        <w:rPr/>
        <w:t>1、会计师事务所是否出具非标准意见的内部控制审计报告：□</w:t>
      </w:r>
      <w:r>
        <w:rPr>
          <w:spacing w:val="-4"/>
        </w:rPr>
        <w:t> </w:t>
      </w:r>
      <w:r>
        <w:rPr/>
        <w:t>是</w:t>
        <w:tab/>
        <w:t>√</w:t>
      </w:r>
      <w:r>
        <w:rPr>
          <w:spacing w:val="1"/>
        </w:rPr>
        <w:t> </w:t>
      </w:r>
      <w:r>
        <w:rPr/>
        <w:t>否。</w:t>
      </w:r>
    </w:p>
    <w:p>
      <w:pPr>
        <w:pStyle w:val="BodyText"/>
        <w:tabs>
          <w:tab w:pos="9199" w:val="left" w:leader="none"/>
        </w:tabs>
        <w:spacing w:line="273" w:lineRule="auto" w:before="37"/>
        <w:ind w:left="393" w:right="453" w:firstLine="420"/>
        <w:jc w:val="left"/>
      </w:pPr>
      <w:r>
        <w:rPr>
          <w:spacing w:val="-3"/>
        </w:rPr>
        <w:t>2、会计师事务所出具的内部控制审计报告与董事会的自我评价报告意见是否一致： </w:t>
      </w:r>
      <w:r>
        <w:rPr/>
        <w:t>√</w:t>
      </w:r>
      <w:r>
        <w:rPr>
          <w:spacing w:val="-13"/>
        </w:rPr>
        <w:t> </w:t>
      </w:r>
      <w:r>
        <w:rPr/>
        <w:t>是</w:t>
        <w:tab/>
        <w:t>□</w:t>
      </w:r>
      <w:r>
        <w:rPr>
          <w:w w:val="100"/>
        </w:rPr>
        <w:t> </w:t>
      </w:r>
      <w:r>
        <w:rPr/>
        <w:t>否。</w:t>
      </w:r>
    </w:p>
    <w:p>
      <w:pPr>
        <w:pStyle w:val="BodyText"/>
        <w:tabs>
          <w:tab w:pos="3544" w:val="left" w:leader="none"/>
          <w:tab w:pos="4593" w:val="left" w:leader="none"/>
        </w:tabs>
        <w:spacing w:line="240" w:lineRule="auto" w:before="8"/>
        <w:ind w:left="813" w:right="1174"/>
        <w:jc w:val="left"/>
      </w:pPr>
      <w:r>
        <w:rPr>
          <w:spacing w:val="-2"/>
        </w:rPr>
        <w:t>十一、公司债券相关情况</w:t>
        <w:tab/>
      </w:r>
      <w:r>
        <w:rPr/>
        <w:t>□</w:t>
      </w:r>
      <w:r>
        <w:rPr>
          <w:spacing w:val="1"/>
        </w:rPr>
        <w:t> </w:t>
      </w:r>
      <w:r>
        <w:rPr/>
        <w:t>适用</w:t>
        <w:tab/>
        <w:t>√</w:t>
      </w:r>
      <w:r>
        <w:rPr>
          <w:spacing w:val="4"/>
        </w:rPr>
        <w:t> </w:t>
      </w:r>
      <w:r>
        <w:rPr>
          <w:spacing w:val="-1"/>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2"/>
          <w:pgSz w:w="11910" w:h="16840"/>
          <w:pgMar w:footer="1000" w:header="884" w:top="1140" w:bottom="1200" w:left="10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before="0"/>
        <w:ind w:left="815" w:right="-17"/>
        <w:jc w:val="left"/>
        <w:rPr>
          <w:b w:val="0"/>
          <w:bCs w:val="0"/>
        </w:rPr>
      </w:pPr>
      <w:bookmarkStart w:name="_TOC_250003" w:id="1"/>
      <w:r>
        <w:rPr/>
        <w:t>审计报告正文</w:t>
      </w:r>
      <w:bookmarkEnd w:id="1"/>
      <w:r>
        <w:rPr>
          <w:b w:val="0"/>
          <w:bCs w:val="0"/>
        </w:rPr>
      </w:r>
    </w:p>
    <w:p>
      <w:pPr>
        <w:tabs>
          <w:tab w:pos="1286" w:val="left" w:leader="none"/>
        </w:tabs>
        <w:spacing w:before="151"/>
        <w:ind w:left="0" w:right="2865" w:firstLine="0"/>
        <w:jc w:val="center"/>
        <w:rPr>
          <w:rFonts w:ascii="宋体" w:hAnsi="宋体" w:cs="宋体" w:eastAsia="宋体" w:hint="default"/>
          <w:sz w:val="32"/>
          <w:szCs w:val="32"/>
        </w:rPr>
      </w:pPr>
      <w:r>
        <w:rPr>
          <w:w w:val="95"/>
        </w:rPr>
        <w:br w:type="column"/>
      </w:r>
      <w:r>
        <w:rPr>
          <w:rFonts w:ascii="宋体" w:hAnsi="宋体" w:cs="宋体" w:eastAsia="宋体" w:hint="default"/>
          <w:b/>
          <w:bCs/>
          <w:w w:val="95"/>
          <w:sz w:val="32"/>
          <w:szCs w:val="32"/>
        </w:rPr>
        <w:t>第九章</w:t>
        <w:tab/>
      </w:r>
      <w:r>
        <w:rPr>
          <w:rFonts w:ascii="宋体" w:hAnsi="宋体" w:cs="宋体" w:eastAsia="宋体" w:hint="default"/>
          <w:b/>
          <w:bCs/>
          <w:sz w:val="32"/>
          <w:szCs w:val="32"/>
        </w:rPr>
        <w:t>财务报告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tabs>
          <w:tab w:pos="561" w:val="left" w:leader="none"/>
          <w:tab w:pos="1120" w:val="left" w:leader="none"/>
          <w:tab w:pos="1684" w:val="left" w:leader="none"/>
        </w:tabs>
        <w:spacing w:before="0"/>
        <w:ind w:left="0" w:right="2872" w:firstLine="0"/>
        <w:jc w:val="center"/>
        <w:rPr>
          <w:rFonts w:ascii="宋体" w:hAnsi="宋体" w:cs="宋体" w:eastAsia="宋体" w:hint="default"/>
          <w:sz w:val="28"/>
          <w:szCs w:val="28"/>
        </w:rPr>
      </w:pPr>
      <w:r>
        <w:rPr>
          <w:rFonts w:ascii="宋体" w:hAnsi="宋体" w:cs="宋体" w:eastAsia="宋体" w:hint="default"/>
          <w:b/>
          <w:bCs/>
          <w:w w:val="95"/>
          <w:sz w:val="28"/>
          <w:szCs w:val="28"/>
        </w:rPr>
        <w:t>审</w:t>
        <w:tab/>
        <w:t>计</w:t>
        <w:tab/>
        <w:t>报</w:t>
        <w:tab/>
      </w:r>
      <w:r>
        <w:rPr>
          <w:rFonts w:ascii="宋体" w:hAnsi="宋体" w:cs="宋体" w:eastAsia="宋体" w:hint="default"/>
          <w:b/>
          <w:bCs/>
          <w:sz w:val="28"/>
          <w:szCs w:val="28"/>
        </w:rPr>
        <w:t>告</w:t>
      </w:r>
      <w:r>
        <w:rPr>
          <w:rFonts w:ascii="宋体" w:hAnsi="宋体" w:cs="宋体" w:eastAsia="宋体" w:hint="default"/>
          <w:sz w:val="28"/>
          <w:szCs w:val="28"/>
        </w:rPr>
      </w:r>
    </w:p>
    <w:p>
      <w:pPr>
        <w:spacing w:after="0"/>
        <w:jc w:val="center"/>
        <w:rPr>
          <w:rFonts w:ascii="宋体" w:hAnsi="宋体" w:cs="宋体" w:eastAsia="宋体" w:hint="default"/>
          <w:sz w:val="28"/>
          <w:szCs w:val="28"/>
        </w:rPr>
        <w:sectPr>
          <w:type w:val="continuous"/>
          <w:pgSz w:w="11910" w:h="16840"/>
          <w:pgMar w:top="1580" w:bottom="280" w:left="1080" w:right="960"/>
          <w:cols w:num="2" w:equalWidth="0">
            <w:col w:w="2084" w:space="715"/>
            <w:col w:w="7071"/>
          </w:cols>
        </w:sectPr>
      </w:pP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type w:val="continuous"/>
          <w:pgSz w:w="11910" w:h="16840"/>
          <w:pgMar w:top="1580" w:bottom="280" w:left="1080" w:right="960"/>
        </w:sectPr>
      </w:pPr>
    </w:p>
    <w:p>
      <w:pPr>
        <w:spacing w:line="240" w:lineRule="auto" w:before="8"/>
        <w:rPr>
          <w:rFonts w:ascii="宋体" w:hAnsi="宋体" w:cs="宋体" w:eastAsia="宋体" w:hint="default"/>
          <w:b/>
          <w:bCs/>
          <w:sz w:val="26"/>
          <w:szCs w:val="26"/>
        </w:rPr>
      </w:pPr>
    </w:p>
    <w:p>
      <w:pPr>
        <w:spacing w:line="273" w:lineRule="auto" w:before="0"/>
        <w:ind w:left="815" w:right="0" w:hanging="3"/>
        <w:jc w:val="left"/>
        <w:rPr>
          <w:rFonts w:ascii="宋体" w:hAnsi="宋体" w:cs="宋体" w:eastAsia="宋体" w:hint="default"/>
          <w:sz w:val="21"/>
          <w:szCs w:val="21"/>
        </w:rPr>
      </w:pPr>
      <w:r>
        <w:rPr>
          <w:rFonts w:ascii="宋体" w:hAnsi="宋体" w:cs="宋体" w:eastAsia="宋体" w:hint="default"/>
          <w:spacing w:val="-2"/>
          <w:sz w:val="21"/>
          <w:szCs w:val="21"/>
        </w:rPr>
        <w:t>茂业通信网络股份有限公司全体股东：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40" w:lineRule="auto" w:before="36"/>
        <w:ind w:left="813" w:right="0"/>
        <w:jc w:val="left"/>
      </w:pPr>
      <w:r>
        <w:rPr/>
        <w:br w:type="column"/>
      </w:r>
      <w:r>
        <w:rPr/>
        <w:t>中兴华审字（2018）010588</w:t>
      </w:r>
      <w:r>
        <w:rPr>
          <w:spacing w:val="-6"/>
        </w:rPr>
        <w:t> </w:t>
      </w:r>
      <w:r>
        <w:rPr/>
        <w:t>号</w:t>
      </w:r>
    </w:p>
    <w:p>
      <w:pPr>
        <w:spacing w:after="0" w:line="240" w:lineRule="auto"/>
        <w:jc w:val="left"/>
        <w:sectPr>
          <w:type w:val="continuous"/>
          <w:pgSz w:w="11910" w:h="16840"/>
          <w:pgMar w:top="1580" w:bottom="280" w:left="1080" w:right="960"/>
          <w:cols w:num="2" w:equalWidth="0">
            <w:col w:w="4388" w:space="1284"/>
            <w:col w:w="4198"/>
          </w:cols>
        </w:sectPr>
      </w:pPr>
    </w:p>
    <w:p>
      <w:pPr>
        <w:pStyle w:val="BodyText"/>
        <w:spacing w:line="240" w:lineRule="auto"/>
        <w:ind w:left="813" w:right="342"/>
        <w:jc w:val="left"/>
      </w:pPr>
      <w:r>
        <w:rPr>
          <w:w w:val="100"/>
        </w:rPr>
        <w:t>我们</w:t>
      </w:r>
      <w:r>
        <w:rPr>
          <w:spacing w:val="-3"/>
          <w:w w:val="100"/>
        </w:rPr>
        <w:t>审</w:t>
      </w:r>
      <w:r>
        <w:rPr>
          <w:w w:val="100"/>
        </w:rPr>
        <w:t>计</w:t>
      </w:r>
      <w:r>
        <w:rPr>
          <w:spacing w:val="-3"/>
          <w:w w:val="100"/>
        </w:rPr>
        <w:t>了</w:t>
      </w:r>
      <w:r>
        <w:rPr>
          <w:w w:val="100"/>
        </w:rPr>
        <w:t>茂</w:t>
      </w:r>
      <w:r>
        <w:rPr>
          <w:spacing w:val="-3"/>
          <w:w w:val="100"/>
        </w:rPr>
        <w:t>业</w:t>
      </w:r>
      <w:r>
        <w:rPr>
          <w:w w:val="100"/>
        </w:rPr>
        <w:t>通</w:t>
      </w:r>
      <w:r>
        <w:rPr>
          <w:spacing w:val="-3"/>
          <w:w w:val="100"/>
        </w:rPr>
        <w:t>信</w:t>
      </w:r>
      <w:r>
        <w:rPr>
          <w:w w:val="100"/>
        </w:rPr>
        <w:t>网</w:t>
      </w:r>
      <w:r>
        <w:rPr>
          <w:spacing w:val="-3"/>
          <w:w w:val="100"/>
        </w:rPr>
        <w:t>络</w:t>
      </w:r>
      <w:r>
        <w:rPr>
          <w:w w:val="100"/>
        </w:rPr>
        <w:t>股份</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“茂</w:t>
      </w:r>
      <w:r>
        <w:rPr>
          <w:spacing w:val="-3"/>
          <w:w w:val="100"/>
        </w:rPr>
        <w:t>业</w:t>
      </w:r>
      <w:r>
        <w:rPr>
          <w:w w:val="100"/>
        </w:rPr>
        <w:t>通</w:t>
      </w:r>
      <w:r>
        <w:rPr>
          <w:spacing w:val="-3"/>
          <w:w w:val="100"/>
        </w:rPr>
        <w:t>信</w:t>
      </w:r>
      <w:r>
        <w:rPr>
          <w:spacing w:val="-106"/>
          <w:w w:val="100"/>
        </w:rPr>
        <w:t>”</w:t>
      </w:r>
      <w:r>
        <w:rPr>
          <w:spacing w:val="-3"/>
          <w:w w:val="100"/>
        </w:rPr>
        <w:t>）</w:t>
      </w:r>
      <w:r>
        <w:rPr>
          <w:w w:val="100"/>
        </w:rPr>
        <w:t>财</w:t>
      </w:r>
      <w:r>
        <w:rPr>
          <w:spacing w:val="-3"/>
          <w:w w:val="100"/>
        </w:rPr>
        <w:t>务</w:t>
      </w:r>
      <w:r>
        <w:rPr>
          <w:w w:val="100"/>
        </w:rPr>
        <w:t>报</w:t>
      </w:r>
      <w:r>
        <w:rPr>
          <w:spacing w:val="-3"/>
          <w:w w:val="100"/>
        </w:rPr>
        <w:t>表，</w:t>
      </w:r>
      <w:r>
        <w:rPr>
          <w:w w:val="100"/>
        </w:rPr>
        <w:t>包括</w:t>
      </w:r>
      <w:r>
        <w:rPr>
          <w:spacing w:val="-7"/>
        </w:rPr>
        <w:t> </w:t>
      </w:r>
      <w:r>
        <w:rPr>
          <w:w w:val="100"/>
        </w:rPr>
        <w:t>20</w:t>
      </w:r>
      <w:r>
        <w:rPr>
          <w:spacing w:val="-3"/>
          <w:w w:val="100"/>
        </w:rPr>
        <w:t>1</w:t>
      </w:r>
      <w:r>
        <w:rPr>
          <w:w w:val="100"/>
        </w:rPr>
        <w:t>7</w:t>
      </w:r>
      <w:r>
        <w:rPr>
          <w:spacing w:val="-7"/>
        </w:rPr>
        <w:t> </w:t>
      </w:r>
      <w:r>
        <w:rPr>
          <w:w w:val="100"/>
        </w:rPr>
        <w:t>年</w:t>
      </w:r>
      <w:r>
        <w:rPr>
          <w:spacing w:val="-5"/>
        </w:rPr>
        <w:t> </w:t>
      </w:r>
      <w:r>
        <w:rPr>
          <w:w w:val="100"/>
        </w:rPr>
        <w:t>12</w:t>
      </w:r>
    </w:p>
    <w:p>
      <w:pPr>
        <w:spacing w:after="0" w:line="240" w:lineRule="auto"/>
        <w:jc w:val="left"/>
        <w:sectPr>
          <w:type w:val="continuous"/>
          <w:pgSz w:w="11910" w:h="16840"/>
          <w:pgMar w:top="1580" w:bottom="280" w:left="1080" w:right="960"/>
        </w:sectPr>
      </w:pPr>
    </w:p>
    <w:p>
      <w:pPr>
        <w:pStyle w:val="BodyText"/>
        <w:spacing w:line="273" w:lineRule="auto" w:before="131"/>
        <w:ind w:left="153" w:right="46"/>
        <w:jc w:val="left"/>
      </w:pPr>
      <w:r>
        <w:rPr/>
        <w:t>月</w:t>
      </w:r>
      <w:r>
        <w:rPr>
          <w:spacing w:val="-34"/>
        </w:rPr>
        <w:t> </w:t>
      </w:r>
      <w:r>
        <w:rPr/>
        <w:t>31</w:t>
      </w:r>
      <w:r>
        <w:rPr>
          <w:spacing w:val="-36"/>
        </w:rPr>
        <w:t> </w:t>
      </w:r>
      <w:r>
        <w:rPr>
          <w:spacing w:val="-4"/>
        </w:rPr>
        <w:t>日的合并及母公司资产负债表，2017</w:t>
      </w:r>
      <w:r>
        <w:rPr>
          <w:spacing w:val="-34"/>
        </w:rPr>
        <w:t> </w:t>
      </w:r>
      <w:r>
        <w:rPr>
          <w:spacing w:val="-3"/>
        </w:rPr>
        <w:t>年度的合并及母公司利润表、合并及母公司现金流量表、</w:t>
      </w:r>
      <w:r>
        <w:rPr>
          <w:spacing w:val="-97"/>
        </w:rPr>
        <w:t> </w:t>
      </w:r>
      <w:r>
        <w:rPr>
          <w:spacing w:val="-97"/>
        </w:rPr>
      </w:r>
      <w:r>
        <w:rPr/>
        <w:t>合并及母公司股东权益变动表以及相关财务报表附注。</w:t>
      </w:r>
    </w:p>
    <w:p>
      <w:pPr>
        <w:pStyle w:val="BodyText"/>
        <w:spacing w:line="273" w:lineRule="auto"/>
        <w:ind w:left="153" w:right="46" w:firstLine="420"/>
        <w:jc w:val="left"/>
      </w:pPr>
      <w:r>
        <w:rPr/>
        <w:t>我们认为，后附的财务报表在所有重大方面按照企业会计准则的规定编制，公允反映了茂业通</w:t>
      </w:r>
      <w:r>
        <w:rPr>
          <w:w w:val="100"/>
        </w:rPr>
        <w:t> </w:t>
      </w:r>
      <w:r>
        <w:rPr/>
        <w:t>信</w:t>
      </w:r>
      <w:r>
        <w:rPr>
          <w:spacing w:val="-68"/>
        </w:rPr>
        <w:t> </w:t>
      </w:r>
      <w:r>
        <w:rPr/>
        <w:t>2017</w:t>
      </w:r>
      <w:r>
        <w:rPr>
          <w:spacing w:val="-71"/>
        </w:rPr>
        <w:t> </w:t>
      </w:r>
      <w:r>
        <w:rPr/>
        <w:t>年</w:t>
      </w:r>
      <w:r>
        <w:rPr>
          <w:spacing w:val="-68"/>
        </w:rPr>
        <w:t> </w:t>
      </w:r>
      <w:r>
        <w:rPr/>
        <w:t>12</w:t>
      </w:r>
      <w:r>
        <w:rPr>
          <w:spacing w:val="-71"/>
        </w:rPr>
        <w:t> </w:t>
      </w:r>
      <w:r>
        <w:rPr/>
        <w:t>月</w:t>
      </w:r>
      <w:r>
        <w:rPr>
          <w:spacing w:val="-68"/>
        </w:rPr>
        <w:t> </w:t>
      </w:r>
      <w:r>
        <w:rPr/>
        <w:t>31</w:t>
      </w:r>
      <w:r>
        <w:rPr>
          <w:spacing w:val="-71"/>
        </w:rPr>
        <w:t> </w:t>
      </w:r>
      <w:r>
        <w:rPr/>
        <w:t>日合并及母公司的财务状况以及</w:t>
      </w:r>
      <w:r>
        <w:rPr>
          <w:spacing w:val="-68"/>
        </w:rPr>
        <w:t> </w:t>
      </w:r>
      <w:r>
        <w:rPr/>
        <w:t>2017</w:t>
      </w:r>
      <w:r>
        <w:rPr>
          <w:spacing w:val="-71"/>
        </w:rPr>
        <w:t> </w:t>
      </w:r>
      <w:r>
        <w:rPr/>
        <w:t>年度合并及母公司的经营成果和现金流量。</w:t>
      </w:r>
    </w:p>
    <w:p>
      <w:pPr>
        <w:spacing w:line="273" w:lineRule="auto" w:before="7"/>
        <w:ind w:left="573" w:right="46"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w:t>
      </w:r>
    </w:p>
    <w:p>
      <w:pPr>
        <w:pStyle w:val="BodyText"/>
        <w:spacing w:line="273" w:lineRule="auto"/>
        <w:ind w:left="153" w:right="46"/>
        <w:jc w:val="left"/>
      </w:pPr>
      <w:r>
        <w:rPr/>
        <w:t>表审计的责任”部分进一步阐述了我们在这些准则下的责任。按照中国注册会计师职业道德守则，</w:t>
      </w:r>
      <w:r>
        <w:rPr>
          <w:w w:val="100"/>
        </w:rPr>
        <w:t> </w:t>
      </w:r>
      <w:r>
        <w:rPr>
          <w:spacing w:val="-5"/>
        </w:rPr>
        <w:t>我们独立于茂业通信，并履行了职业道德方面的其他责任。我们相信，我们获取的审计证据是充分、</w:t>
      </w:r>
      <w:r>
        <w:rPr>
          <w:spacing w:val="-16"/>
        </w:rPr>
        <w:t> </w:t>
      </w:r>
      <w:r>
        <w:rPr>
          <w:spacing w:val="-16"/>
        </w:rPr>
      </w:r>
      <w:r>
        <w:rPr/>
        <w:t>适当的，为发表审计意见提供了基础。</w:t>
      </w:r>
    </w:p>
    <w:p>
      <w:pPr>
        <w:pStyle w:val="BodyText"/>
        <w:spacing w:line="273" w:lineRule="auto" w:before="8"/>
        <w:ind w:right="46"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w:t>
      </w:r>
    </w:p>
    <w:p>
      <w:pPr>
        <w:pStyle w:val="BodyText"/>
        <w:spacing w:line="273" w:lineRule="auto"/>
        <w:ind w:left="153" w:right="46"/>
        <w:jc w:val="left"/>
      </w:pPr>
      <w:r>
        <w:rPr>
          <w:spacing w:val="-2"/>
        </w:rPr>
        <w:t>对以对财务报表整体进行审计并形成意见为背景，我们不对这些事项单独发表意见。我们确定下列</w:t>
      </w:r>
      <w:r>
        <w:rPr>
          <w:spacing w:val="-42"/>
        </w:rPr>
        <w:t> </w:t>
      </w:r>
      <w:r>
        <w:rPr>
          <w:spacing w:val="-42"/>
        </w:rPr>
      </w:r>
      <w:r>
        <w:rPr/>
        <w:t>事项是需要在审计报告中沟通的关键审计事项。</w:t>
      </w:r>
    </w:p>
    <w:p>
      <w:pPr>
        <w:pStyle w:val="BodyText"/>
        <w:spacing w:line="273" w:lineRule="auto"/>
        <w:ind w:right="7329"/>
        <w:jc w:val="left"/>
      </w:pPr>
      <w:r>
        <w:rPr>
          <w:spacing w:val="-1"/>
        </w:rPr>
        <w:t>（一）收入确认</w:t>
      </w:r>
      <w:r>
        <w:rPr>
          <w:spacing w:val="-96"/>
        </w:rPr>
        <w:t> </w:t>
      </w:r>
      <w:r>
        <w:rPr>
          <w:spacing w:val="-96"/>
        </w:rPr>
      </w:r>
      <w:r>
        <w:rPr/>
        <w:t>1、事项描述</w:t>
      </w:r>
    </w:p>
    <w:p>
      <w:pPr>
        <w:pStyle w:val="BodyText"/>
        <w:spacing w:line="273" w:lineRule="auto"/>
        <w:ind w:right="203"/>
        <w:jc w:val="left"/>
      </w:pPr>
      <w:r>
        <w:rPr>
          <w:w w:val="100"/>
        </w:rPr>
        <w:t>参见</w:t>
      </w:r>
      <w:r>
        <w:rPr>
          <w:spacing w:val="-3"/>
          <w:w w:val="100"/>
        </w:rPr>
        <w:t>“</w:t>
      </w:r>
      <w:r>
        <w:rPr>
          <w:w w:val="100"/>
        </w:rPr>
        <w:t>财</w:t>
      </w:r>
      <w:r>
        <w:rPr>
          <w:spacing w:val="-3"/>
          <w:w w:val="100"/>
        </w:rPr>
        <w:t>务</w:t>
      </w:r>
      <w:r>
        <w:rPr>
          <w:w w:val="100"/>
        </w:rPr>
        <w:t>报</w:t>
      </w:r>
      <w:r>
        <w:rPr>
          <w:spacing w:val="-3"/>
          <w:w w:val="100"/>
        </w:rPr>
        <w:t>表</w:t>
      </w:r>
      <w:r>
        <w:rPr>
          <w:w w:val="100"/>
        </w:rPr>
        <w:t>附</w:t>
      </w:r>
      <w:r>
        <w:rPr>
          <w:spacing w:val="-3"/>
          <w:w w:val="100"/>
        </w:rPr>
        <w:t>注</w:t>
      </w:r>
      <w:r>
        <w:rPr>
          <w:w w:val="100"/>
        </w:rPr>
        <w:t>四</w:t>
      </w:r>
      <w:r>
        <w:rPr>
          <w:spacing w:val="-3"/>
          <w:w w:val="100"/>
        </w:rPr>
        <w:t>、2</w:t>
      </w:r>
      <w:r>
        <w:rPr>
          <w:w w:val="100"/>
        </w:rPr>
        <w:t>1”</w:t>
      </w:r>
      <w:r>
        <w:rPr>
          <w:spacing w:val="-106"/>
          <w:w w:val="100"/>
        </w:rPr>
        <w:t>，</w:t>
      </w:r>
      <w:r>
        <w:rPr>
          <w:spacing w:val="-3"/>
          <w:w w:val="100"/>
        </w:rPr>
        <w:t>“</w:t>
      </w:r>
      <w:r>
        <w:rPr>
          <w:w w:val="100"/>
        </w:rPr>
        <w:t>财</w:t>
      </w:r>
      <w:r>
        <w:rPr>
          <w:spacing w:val="-3"/>
          <w:w w:val="100"/>
        </w:rPr>
        <w:t>务</w:t>
      </w:r>
      <w:r>
        <w:rPr>
          <w:w w:val="100"/>
        </w:rPr>
        <w:t>报</w:t>
      </w:r>
      <w:r>
        <w:rPr>
          <w:spacing w:val="-3"/>
          <w:w w:val="100"/>
        </w:rPr>
        <w:t>表</w:t>
      </w:r>
      <w:r>
        <w:rPr>
          <w:w w:val="100"/>
        </w:rPr>
        <w:t>附</w:t>
      </w:r>
      <w:r>
        <w:rPr>
          <w:spacing w:val="-3"/>
          <w:w w:val="100"/>
        </w:rPr>
        <w:t>注</w:t>
      </w:r>
      <w:r>
        <w:rPr>
          <w:w w:val="100"/>
        </w:rPr>
        <w:t>六</w:t>
      </w:r>
      <w:r>
        <w:rPr>
          <w:spacing w:val="-3"/>
          <w:w w:val="100"/>
        </w:rPr>
        <w:t>、2</w:t>
      </w:r>
      <w:r>
        <w:rPr>
          <w:spacing w:val="-1"/>
          <w:w w:val="100"/>
        </w:rPr>
        <w:t>9</w:t>
      </w:r>
      <w:r>
        <w:rPr>
          <w:w w:val="100"/>
        </w:rPr>
        <w:t>”</w:t>
      </w:r>
      <w:r>
        <w:rPr>
          <w:w w:val="100"/>
        </w:rPr>
        <w:t> </w:t>
      </w:r>
      <w:r>
        <w:rPr>
          <w:spacing w:val="2"/>
          <w:w w:val="100"/>
        </w:rPr>
        <w:t>茂</w:t>
      </w:r>
      <w:r>
        <w:rPr>
          <w:w w:val="100"/>
        </w:rPr>
        <w:t>业</w:t>
      </w:r>
      <w:r>
        <w:rPr>
          <w:spacing w:val="2"/>
          <w:w w:val="100"/>
        </w:rPr>
        <w:t>通</w:t>
      </w:r>
      <w:r>
        <w:rPr>
          <w:w w:val="100"/>
        </w:rPr>
        <w:t>信</w:t>
      </w:r>
      <w:r>
        <w:rPr>
          <w:spacing w:val="2"/>
          <w:w w:val="100"/>
        </w:rPr>
        <w:t>之</w:t>
      </w:r>
      <w:r>
        <w:rPr>
          <w:w w:val="100"/>
        </w:rPr>
        <w:t>子公</w:t>
      </w:r>
      <w:r>
        <w:rPr>
          <w:spacing w:val="2"/>
          <w:w w:val="100"/>
        </w:rPr>
        <w:t>司</w:t>
      </w:r>
      <w:r>
        <w:rPr>
          <w:w w:val="100"/>
        </w:rPr>
        <w:t>广</w:t>
      </w:r>
      <w:r>
        <w:rPr>
          <w:spacing w:val="2"/>
          <w:w w:val="100"/>
        </w:rPr>
        <w:t>东</w:t>
      </w:r>
      <w:r>
        <w:rPr>
          <w:w w:val="100"/>
        </w:rPr>
        <w:t>长</w:t>
      </w:r>
      <w:r>
        <w:rPr>
          <w:spacing w:val="2"/>
          <w:w w:val="100"/>
        </w:rPr>
        <w:t>实</w:t>
      </w:r>
      <w:r>
        <w:rPr>
          <w:w w:val="100"/>
        </w:rPr>
        <w:t>通</w:t>
      </w:r>
      <w:r>
        <w:rPr>
          <w:spacing w:val="2"/>
          <w:w w:val="100"/>
        </w:rPr>
        <w:t>信</w:t>
      </w:r>
      <w:r>
        <w:rPr>
          <w:w w:val="100"/>
        </w:rPr>
        <w:t>科</w:t>
      </w:r>
      <w:r>
        <w:rPr>
          <w:spacing w:val="2"/>
          <w:w w:val="100"/>
        </w:rPr>
        <w:t>技</w:t>
      </w:r>
      <w:r>
        <w:rPr>
          <w:w w:val="100"/>
        </w:rPr>
        <w:t>有限</w:t>
      </w:r>
      <w:r>
        <w:rPr>
          <w:spacing w:val="2"/>
          <w:w w:val="100"/>
        </w:rPr>
        <w:t>公</w:t>
      </w:r>
      <w:r>
        <w:rPr>
          <w:w w:val="100"/>
        </w:rPr>
        <w:t>司</w:t>
      </w:r>
      <w:r>
        <w:rPr>
          <w:spacing w:val="2"/>
          <w:w w:val="100"/>
        </w:rPr>
        <w:t>（</w:t>
      </w:r>
      <w:r>
        <w:rPr>
          <w:w w:val="100"/>
        </w:rPr>
        <w:t>以</w:t>
      </w:r>
      <w:r>
        <w:rPr>
          <w:spacing w:val="2"/>
          <w:w w:val="100"/>
        </w:rPr>
        <w:t>下</w:t>
      </w:r>
      <w:r>
        <w:rPr>
          <w:w w:val="100"/>
        </w:rPr>
        <w:t>简</w:t>
      </w:r>
      <w:r>
        <w:rPr>
          <w:spacing w:val="2"/>
          <w:w w:val="100"/>
        </w:rPr>
        <w:t>称</w:t>
      </w:r>
      <w:r>
        <w:rPr>
          <w:w w:val="100"/>
        </w:rPr>
        <w:t>“</w:t>
      </w:r>
      <w:r>
        <w:rPr>
          <w:spacing w:val="2"/>
          <w:w w:val="100"/>
        </w:rPr>
        <w:t>长</w:t>
      </w:r>
      <w:r>
        <w:rPr>
          <w:w w:val="100"/>
        </w:rPr>
        <w:t>实科</w:t>
      </w:r>
      <w:r>
        <w:rPr>
          <w:spacing w:val="2"/>
          <w:w w:val="100"/>
        </w:rPr>
        <w:t>技</w:t>
      </w:r>
      <w:r>
        <w:rPr>
          <w:spacing w:val="-104"/>
          <w:w w:val="100"/>
        </w:rPr>
        <w:t>”</w:t>
      </w:r>
      <w:r>
        <w:rPr>
          <w:w w:val="100"/>
        </w:rPr>
        <w:t>）的收</w:t>
      </w:r>
      <w:r>
        <w:rPr>
          <w:spacing w:val="2"/>
          <w:w w:val="100"/>
        </w:rPr>
        <w:t>入</w:t>
      </w:r>
      <w:r>
        <w:rPr>
          <w:w w:val="100"/>
        </w:rPr>
        <w:t>主</w:t>
      </w:r>
      <w:r>
        <w:rPr>
          <w:spacing w:val="2"/>
          <w:w w:val="100"/>
        </w:rPr>
        <w:t>要</w:t>
      </w:r>
      <w:r>
        <w:rPr>
          <w:w w:val="100"/>
        </w:rPr>
        <w:t>包</w:t>
      </w:r>
      <w:r>
        <w:rPr>
          <w:spacing w:val="2"/>
          <w:w w:val="100"/>
        </w:rPr>
        <w:t>括</w:t>
      </w:r>
      <w:r>
        <w:rPr>
          <w:w w:val="100"/>
        </w:rPr>
        <w:t>：通</w:t>
      </w:r>
    </w:p>
    <w:p>
      <w:pPr>
        <w:pStyle w:val="BodyText"/>
        <w:spacing w:line="273" w:lineRule="auto"/>
        <w:ind w:left="153" w:right="46"/>
        <w:jc w:val="left"/>
      </w:pPr>
      <w:r>
        <w:rPr>
          <w:spacing w:val="-2"/>
        </w:rPr>
        <w:t>信网络维护服务收入、通信网络优化服务收入。由于长实科技以预估产值计算收入时涉及管理层判</w:t>
      </w:r>
      <w:r>
        <w:rPr>
          <w:spacing w:val="-45"/>
        </w:rPr>
        <w:t> </w:t>
      </w:r>
      <w:r>
        <w:rPr>
          <w:spacing w:val="-45"/>
        </w:rPr>
      </w:r>
      <w:r>
        <w:rPr/>
        <w:t>断，并且结算周期几个月不等，因此在财务报表中收入确认的准确性存在风险。</w:t>
      </w:r>
    </w:p>
    <w:p>
      <w:pPr>
        <w:pStyle w:val="BodyText"/>
        <w:spacing w:line="273" w:lineRule="auto"/>
        <w:ind w:left="153" w:right="212" w:firstLine="420"/>
        <w:jc w:val="both"/>
      </w:pPr>
      <w:r>
        <w:rPr>
          <w:spacing w:val="-2"/>
          <w:w w:val="100"/>
        </w:rPr>
        <w:t>茂业通信之子公司北京创世漫道科技有限公司（以下简称“创世漫道”）的收入属于增值电信</w:t>
      </w:r>
      <w:r>
        <w:rPr>
          <w:w w:val="100"/>
        </w:rPr>
        <w:t> </w:t>
      </w:r>
      <w:r>
        <w:rPr>
          <w:spacing w:val="-2"/>
        </w:rPr>
        <w:t>业务中的信息服务业务，包括行业短信业务、运营商业务酬金、技术开发服务等收入。创世漫道通</w:t>
      </w:r>
      <w:r>
        <w:rPr>
          <w:spacing w:val="-45"/>
        </w:rPr>
        <w:t> </w:t>
      </w:r>
      <w:r>
        <w:rPr>
          <w:spacing w:val="-45"/>
        </w:rPr>
      </w:r>
      <w:r>
        <w:rPr>
          <w:spacing w:val="-2"/>
        </w:rPr>
        <w:t>过信息系统计费，记载发送短信的实际计费条数、发送条数、返回成功条数等业务数据，以成功条</w:t>
      </w:r>
      <w:r>
        <w:rPr>
          <w:spacing w:val="-46"/>
        </w:rPr>
        <w:t> </w:t>
      </w:r>
      <w:r>
        <w:rPr>
          <w:spacing w:val="-46"/>
        </w:rPr>
      </w:r>
      <w:r>
        <w:rPr>
          <w:spacing w:val="-2"/>
        </w:rPr>
        <w:t>数计算收入，由于涉及复杂的信息技术系统和管理层判断，使得收入存在可能被确认于不正确的期</w:t>
      </w:r>
      <w:r>
        <w:rPr>
          <w:spacing w:val="-45"/>
        </w:rPr>
        <w:t> </w:t>
      </w:r>
      <w:r>
        <w:rPr>
          <w:spacing w:val="-45"/>
        </w:rPr>
      </w:r>
      <w:r>
        <w:rPr/>
        <w:t>间或被操控以达到目标的固有风险。</w:t>
      </w:r>
    </w:p>
    <w:p>
      <w:pPr>
        <w:pStyle w:val="BodyText"/>
        <w:spacing w:line="273" w:lineRule="auto"/>
        <w:ind w:right="3345"/>
        <w:jc w:val="left"/>
      </w:pPr>
      <w:r>
        <w:rPr>
          <w:spacing w:val="-2"/>
        </w:rPr>
        <w:t>基于以上事项，我们将收入确认作为关键审计事项。</w:t>
      </w:r>
      <w:r>
        <w:rPr>
          <w:spacing w:val="-63"/>
        </w:rPr>
        <w:t> </w:t>
      </w:r>
      <w:r>
        <w:rPr>
          <w:spacing w:val="-63"/>
        </w:rPr>
      </w:r>
      <w:r>
        <w:rPr/>
        <w:t>2、审计应对</w:t>
      </w:r>
    </w:p>
    <w:p>
      <w:pPr>
        <w:pStyle w:val="BodyText"/>
        <w:spacing w:line="240" w:lineRule="auto"/>
        <w:ind w:right="46"/>
        <w:jc w:val="left"/>
      </w:pPr>
      <w:r>
        <w:rPr/>
        <w:t>（1）了解并测试了与收入确认相关的关键内部控制；</w:t>
      </w:r>
    </w:p>
    <w:p>
      <w:pPr>
        <w:pStyle w:val="BodyText"/>
        <w:spacing w:line="240" w:lineRule="auto" w:before="37"/>
        <w:ind w:right="46"/>
        <w:jc w:val="left"/>
      </w:pPr>
      <w:r>
        <w:rPr/>
        <w:t>（2）编制各项收入对应的毛利率分析表，分析毛利率变动的合理性；</w:t>
      </w:r>
    </w:p>
    <w:p>
      <w:pPr>
        <w:pStyle w:val="BodyText"/>
        <w:spacing w:line="240" w:lineRule="auto" w:before="37"/>
        <w:ind w:right="46"/>
        <w:jc w:val="left"/>
      </w:pPr>
      <w:r>
        <w:rPr/>
        <w:t>（3）检查年度内合同、协议的执行情况，分析合同条款，并与收入明细表核对；</w:t>
      </w:r>
    </w:p>
    <w:p>
      <w:pPr>
        <w:pStyle w:val="BodyText"/>
        <w:spacing w:line="240" w:lineRule="auto" w:before="37"/>
        <w:ind w:right="46"/>
        <w:jc w:val="left"/>
      </w:pPr>
      <w:r>
        <w:rPr/>
        <w:t>（4）在应收账款、预收账款往来询证的同时对交易总额履行函证程序；</w:t>
      </w:r>
    </w:p>
    <w:p>
      <w:pPr>
        <w:pStyle w:val="BodyText"/>
        <w:spacing w:line="273" w:lineRule="auto" w:before="37"/>
        <w:ind w:left="153" w:right="46" w:firstLine="420"/>
        <w:jc w:val="left"/>
      </w:pPr>
      <w:r>
        <w:rPr/>
        <w:t>（5）对维护服务收入，针对已确认的暂估收入核对至产值预估表、维护结算表、收款回单等</w:t>
      </w:r>
      <w:r>
        <w:rPr>
          <w:w w:val="100"/>
        </w:rPr>
        <w:t> </w:t>
      </w:r>
      <w:r>
        <w:rPr/>
        <w:t>支持性文件，以评估暂估收入是否准确记录；</w:t>
      </w:r>
    </w:p>
    <w:p>
      <w:pPr>
        <w:pStyle w:val="BodyText"/>
        <w:spacing w:line="273" w:lineRule="auto"/>
        <w:ind w:left="153" w:right="46" w:firstLine="420"/>
        <w:jc w:val="left"/>
      </w:pPr>
      <w:r>
        <w:rPr/>
        <w:t>（6）对期末因暂估收入形成的应收账款获取报表日后的结算单、检查期后收款情况，评估差</w:t>
      </w:r>
      <w:r>
        <w:rPr>
          <w:w w:val="100"/>
        </w:rPr>
        <w:t> </w:t>
      </w:r>
      <w:r>
        <w:rPr/>
        <w:t>异是否对财务报表产生重大影响；</w:t>
      </w:r>
    </w:p>
    <w:p>
      <w:pPr>
        <w:pStyle w:val="BodyText"/>
        <w:spacing w:line="273" w:lineRule="auto" w:before="8"/>
        <w:ind w:left="153" w:right="46" w:firstLine="420"/>
        <w:jc w:val="left"/>
      </w:pPr>
      <w:r>
        <w:rPr/>
        <w:t>（7）对短、彩信及流量业务，需对本年度新签订合同及协议的单价与系统中单价核对，如年</w:t>
      </w:r>
      <w:r>
        <w:rPr>
          <w:w w:val="100"/>
        </w:rPr>
        <w:t> </w:t>
      </w:r>
      <w:r>
        <w:rPr/>
        <w:t>度中出现调价需提供调价依据；</w:t>
      </w:r>
    </w:p>
    <w:p>
      <w:pPr>
        <w:pStyle w:val="BodyText"/>
        <w:spacing w:line="240" w:lineRule="auto"/>
        <w:ind w:right="46"/>
        <w:jc w:val="left"/>
      </w:pPr>
      <w:r>
        <w:rPr/>
        <w:t>（8）获取各月短信、流量各客户的对账单与财务数据进行核对，检查收入入账的真实准确性。</w:t>
      </w:r>
    </w:p>
    <w:p>
      <w:pPr>
        <w:pStyle w:val="BodyText"/>
        <w:spacing w:line="273" w:lineRule="auto" w:before="37"/>
        <w:ind w:right="6260"/>
        <w:jc w:val="left"/>
      </w:pPr>
      <w:r>
        <w:rPr>
          <w:spacing w:val="-2"/>
        </w:rPr>
        <w:t>（二）应收账款的减值</w:t>
      </w:r>
      <w:r>
        <w:rPr>
          <w:spacing w:val="-85"/>
        </w:rPr>
        <w:t> </w:t>
      </w:r>
      <w:r>
        <w:rPr>
          <w:spacing w:val="-85"/>
        </w:rPr>
      </w:r>
      <w:r>
        <w:rPr/>
        <w:t>1、事项描述</w:t>
      </w:r>
    </w:p>
    <w:p>
      <w:pPr>
        <w:pStyle w:val="BodyText"/>
        <w:spacing w:line="273" w:lineRule="auto"/>
        <w:ind w:left="153" w:right="212" w:firstLine="420"/>
        <w:jc w:val="both"/>
      </w:pPr>
      <w:r>
        <w:rPr>
          <w:spacing w:val="-14"/>
          <w:w w:val="100"/>
        </w:rPr>
        <w:t>参见“财务报表附注四、9”，“财务报表附注六、4”，截至</w:t>
      </w:r>
      <w:r>
        <w:rPr>
          <w:spacing w:val="-50"/>
          <w:w w:val="100"/>
        </w:rPr>
        <w:t> </w:t>
      </w:r>
      <w:r>
        <w:rPr>
          <w:spacing w:val="-1"/>
          <w:w w:val="100"/>
        </w:rPr>
        <w:t>2017</w:t>
      </w:r>
      <w:r>
        <w:rPr>
          <w:spacing w:val="-50"/>
          <w:w w:val="100"/>
        </w:rPr>
        <w:t> </w:t>
      </w:r>
      <w:r>
        <w:rPr>
          <w:w w:val="100"/>
        </w:rPr>
        <w:t>年</w:t>
      </w:r>
      <w:r>
        <w:rPr>
          <w:spacing w:val="-52"/>
          <w:w w:val="100"/>
        </w:rPr>
        <w:t> </w:t>
      </w:r>
      <w:r>
        <w:rPr>
          <w:w w:val="100"/>
        </w:rPr>
        <w:t>12</w:t>
      </w:r>
      <w:r>
        <w:rPr>
          <w:spacing w:val="-52"/>
          <w:w w:val="100"/>
        </w:rPr>
        <w:t> </w:t>
      </w:r>
      <w:r>
        <w:rPr>
          <w:w w:val="100"/>
        </w:rPr>
        <w:t>月</w:t>
      </w:r>
      <w:r>
        <w:rPr>
          <w:spacing w:val="-50"/>
          <w:w w:val="100"/>
        </w:rPr>
        <w:t> </w:t>
      </w:r>
      <w:r>
        <w:rPr>
          <w:w w:val="100"/>
        </w:rPr>
        <w:t>31</w:t>
      </w:r>
      <w:r>
        <w:rPr>
          <w:spacing w:val="-52"/>
          <w:w w:val="100"/>
        </w:rPr>
        <w:t> </w:t>
      </w:r>
      <w:r>
        <w:rPr>
          <w:spacing w:val="-2"/>
          <w:w w:val="100"/>
        </w:rPr>
        <w:t>日，茂业通信应收</w:t>
      </w:r>
      <w:r>
        <w:rPr>
          <w:w w:val="100"/>
        </w:rPr>
        <w:t> </w:t>
      </w:r>
      <w:r>
        <w:rPr/>
        <w:t>账款余额</w:t>
      </w:r>
      <w:r>
        <w:rPr>
          <w:spacing w:val="-32"/>
        </w:rPr>
        <w:t> </w:t>
      </w:r>
      <w:r>
        <w:rPr/>
        <w:t>74,344.28</w:t>
      </w:r>
      <w:r>
        <w:rPr>
          <w:spacing w:val="-32"/>
        </w:rPr>
        <w:t> </w:t>
      </w:r>
      <w:r>
        <w:rPr/>
        <w:t>万元，坏账准备余额</w:t>
      </w:r>
      <w:r>
        <w:rPr>
          <w:spacing w:val="-34"/>
        </w:rPr>
        <w:t> </w:t>
      </w:r>
      <w:r>
        <w:rPr/>
        <w:t>5,398.31</w:t>
      </w:r>
      <w:r>
        <w:rPr>
          <w:spacing w:val="-32"/>
        </w:rPr>
        <w:t> </w:t>
      </w:r>
      <w:r>
        <w:rPr/>
        <w:t>万元，账面价值较高。若应收账款不能按期收</w:t>
      </w:r>
      <w:r>
        <w:rPr>
          <w:w w:val="100"/>
        </w:rPr>
        <w:t> </w:t>
      </w:r>
      <w:r>
        <w:rPr>
          <w:spacing w:val="2"/>
        </w:rPr>
        <w:t>回或无法收回而发生坏账对财务报表影响较为重大，因此我们确定应收账款的减值为关键审计事</w:t>
      </w:r>
      <w:r>
        <w:rPr>
          <w:spacing w:val="-20"/>
        </w:rPr>
        <w:t> </w:t>
      </w:r>
      <w:r>
        <w:rPr>
          <w:spacing w:val="-20"/>
        </w:rPr>
      </w:r>
      <w:r>
        <w:rPr/>
        <w:t>项。</w:t>
      </w:r>
    </w:p>
    <w:p>
      <w:pPr>
        <w:pStyle w:val="BodyText"/>
        <w:spacing w:line="240" w:lineRule="auto"/>
        <w:ind w:right="46"/>
        <w:jc w:val="left"/>
      </w:pPr>
      <w:r>
        <w:rPr/>
        <w:t>2、审计应对</w:t>
      </w:r>
    </w:p>
    <w:p>
      <w:pPr>
        <w:pStyle w:val="BodyText"/>
        <w:spacing w:line="240" w:lineRule="auto" w:before="37"/>
        <w:ind w:right="46"/>
        <w:jc w:val="left"/>
      </w:pPr>
      <w:r>
        <w:rPr/>
        <w:t>（1）了解并测试了与应收账款计提坏账准备相关的内部控制；</w:t>
      </w:r>
    </w:p>
    <w:p>
      <w:pPr>
        <w:spacing w:after="0" w:line="240" w:lineRule="auto"/>
        <w:jc w:val="left"/>
        <w:sectPr>
          <w:footerReference w:type="default" r:id="rId53"/>
          <w:pgSz w:w="11910" w:h="16840"/>
          <w:pgMar w:footer="1000" w:header="884" w:top="1140" w:bottom="1200" w:left="1320" w:right="1200"/>
          <w:pgNumType w:start="61"/>
        </w:sectPr>
      </w:pPr>
    </w:p>
    <w:p>
      <w:pPr>
        <w:pStyle w:val="BodyText"/>
        <w:spacing w:line="240" w:lineRule="auto" w:before="131"/>
        <w:ind w:right="0"/>
        <w:jc w:val="left"/>
      </w:pPr>
      <w:r>
        <w:rPr/>
        <w:t>（2）对年末大额的应收账款余额进行了函证；</w:t>
      </w:r>
    </w:p>
    <w:p>
      <w:pPr>
        <w:pStyle w:val="BodyText"/>
        <w:spacing w:line="240" w:lineRule="auto" w:before="37"/>
        <w:ind w:right="0"/>
        <w:jc w:val="left"/>
      </w:pPr>
      <w:r>
        <w:rPr/>
        <w:t>（3）我们与管理层讨论应收账款回收情况及可能存在的回收风险；</w:t>
      </w:r>
    </w:p>
    <w:p>
      <w:pPr>
        <w:pStyle w:val="BodyText"/>
        <w:spacing w:line="240" w:lineRule="auto" w:before="37"/>
        <w:ind w:right="0"/>
        <w:jc w:val="left"/>
      </w:pPr>
      <w:r>
        <w:rPr/>
        <w:t>（4）对应收账款账龄划分的准确性进行测试，并重新计算确认坏账准备计提是否合理；</w:t>
      </w:r>
    </w:p>
    <w:p>
      <w:pPr>
        <w:pStyle w:val="BodyText"/>
        <w:spacing w:line="273" w:lineRule="auto" w:before="37"/>
        <w:ind w:left="575" w:right="2071" w:hanging="3"/>
        <w:jc w:val="left"/>
        <w:rPr>
          <w:rFonts w:ascii="宋体" w:hAnsi="宋体" w:cs="宋体" w:eastAsia="宋体" w:hint="default"/>
        </w:rPr>
      </w:pPr>
      <w:r>
        <w:rPr>
          <w:spacing w:val="-2"/>
        </w:rPr>
        <w:t>（5）检查资产负债表日后收款情况，判断应收账款可收回性的合理性。</w:t>
      </w:r>
      <w:r>
        <w:rPr>
          <w:spacing w:val="-46"/>
        </w:rPr>
        <w:t> </w:t>
      </w:r>
      <w:r>
        <w:rPr>
          <w:spacing w:val="-46"/>
        </w:rPr>
      </w:r>
      <w:r>
        <w:rPr>
          <w:rFonts w:ascii="宋体" w:hAnsi="宋体" w:cs="宋体" w:eastAsia="宋体" w:hint="default"/>
          <w:b/>
          <w:bCs/>
        </w:rPr>
        <w:t>四、其他信息</w:t>
      </w:r>
      <w:r>
        <w:rPr>
          <w:rFonts w:ascii="宋体" w:hAnsi="宋体" w:cs="宋体" w:eastAsia="宋体" w:hint="default"/>
        </w:rPr>
      </w:r>
    </w:p>
    <w:p>
      <w:pPr>
        <w:pStyle w:val="BodyText"/>
        <w:spacing w:line="273" w:lineRule="auto" w:before="8"/>
        <w:ind w:left="153" w:right="130" w:firstLine="420"/>
        <w:jc w:val="both"/>
      </w:pPr>
      <w:r>
        <w:rPr/>
        <w:t>茂业通信管理层（以下简称管理层）对其他信息负责。其他信息包括茂业通信 2017</w:t>
      </w:r>
      <w:r>
        <w:rPr>
          <w:spacing w:val="-22"/>
        </w:rPr>
        <w:t> </w:t>
      </w:r>
      <w:r>
        <w:rPr/>
        <w:t>年度报告</w:t>
      </w:r>
      <w:r>
        <w:rPr>
          <w:w w:val="100"/>
        </w:rPr>
        <w:t> </w:t>
      </w:r>
      <w:r>
        <w:rPr/>
        <w:t>中涵盖的信息，但不包括财务报表和我们的审计报告。</w:t>
      </w:r>
    </w:p>
    <w:p>
      <w:pPr>
        <w:pStyle w:val="BodyText"/>
        <w:spacing w:line="273" w:lineRule="auto"/>
        <w:ind w:left="153" w:right="130" w:firstLine="420"/>
        <w:jc w:val="both"/>
      </w:pPr>
      <w:r>
        <w:rPr>
          <w:spacing w:val="-2"/>
        </w:rPr>
        <w:t>我们对财务报表发表的审计意见不涵盖其他信息，我们也不对其他信息发表任何形式的鉴证结</w:t>
      </w:r>
      <w:r>
        <w:rPr>
          <w:w w:val="100"/>
        </w:rPr>
        <w:t> </w:t>
      </w:r>
      <w:r>
        <w:rPr/>
        <w:t>论。</w:t>
      </w:r>
    </w:p>
    <w:p>
      <w:pPr>
        <w:pStyle w:val="BodyText"/>
        <w:spacing w:line="273" w:lineRule="auto" w:before="8"/>
        <w:ind w:left="153" w:right="132" w:firstLine="420"/>
        <w:jc w:val="both"/>
      </w:pPr>
      <w:r>
        <w:rPr>
          <w:spacing w:val="-2"/>
        </w:rPr>
        <w:t>结合我们对财务报表的审计，我们的责任是阅读其他信息，在此过程中，考虑其他信息是否与</w:t>
      </w:r>
      <w:r>
        <w:rPr>
          <w:w w:val="100"/>
        </w:rPr>
        <w:t> </w:t>
      </w:r>
      <w:r>
        <w:rPr/>
        <w:t>财务报表或我们在审计过程中了解到的情况存在重大不一致或者似乎存在重大错报。</w:t>
      </w:r>
    </w:p>
    <w:p>
      <w:pPr>
        <w:pStyle w:val="BodyText"/>
        <w:spacing w:line="273" w:lineRule="auto"/>
        <w:ind w:left="153" w:right="132" w:firstLine="420"/>
        <w:jc w:val="both"/>
      </w:pPr>
      <w:r>
        <w:rPr>
          <w:spacing w:val="-2"/>
        </w:rPr>
        <w:t>基于我们已执行的工作，如果我们确定其他信息存在重大错报，我们应当报告该事实。在这方</w:t>
      </w:r>
      <w:r>
        <w:rPr>
          <w:w w:val="100"/>
        </w:rPr>
        <w:t> </w:t>
      </w:r>
      <w:r>
        <w:rPr/>
        <w:t>面，我们无任何事项需要报告。</w:t>
      </w:r>
    </w:p>
    <w:p>
      <w:pPr>
        <w:spacing w:line="273" w:lineRule="auto" w:before="7"/>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管理层负责按照企业会计准则的规定编制财务报表，使其实现公允反映，并设计、执行和维护</w:t>
      </w:r>
    </w:p>
    <w:p>
      <w:pPr>
        <w:pStyle w:val="BodyText"/>
        <w:spacing w:line="273" w:lineRule="auto"/>
        <w:ind w:right="0" w:hanging="421"/>
        <w:jc w:val="left"/>
      </w:pPr>
      <w:r>
        <w:rPr/>
        <w:t>必要的内部控制，以使财务报表不存在由于舞弊或错误导致的重大错报。</w:t>
      </w:r>
      <w:r>
        <w:rPr>
          <w:w w:val="100"/>
        </w:rPr>
        <w:t> </w:t>
      </w:r>
      <w:r>
        <w:rPr>
          <w:spacing w:val="-7"/>
        </w:rPr>
        <w:t>在编制财务报表时，管理层负责评估茂业通信的持续经营能力，披露与持续经营相关的事项（如</w:t>
      </w:r>
    </w:p>
    <w:p>
      <w:pPr>
        <w:pStyle w:val="BodyText"/>
        <w:spacing w:line="273" w:lineRule="auto"/>
        <w:ind w:right="0" w:hanging="421"/>
        <w:jc w:val="left"/>
      </w:pPr>
      <w:r>
        <w:rPr>
          <w:spacing w:val="-4"/>
          <w:w w:val="100"/>
        </w:rPr>
        <w:t>适用），并运用持续经营假设，除非管理层计划清算茂业通信、终止运营或别无其他现实的选择。</w:t>
      </w:r>
      <w:r>
        <w:rPr>
          <w:spacing w:val="-97"/>
          <w:w w:val="100"/>
        </w:rPr>
        <w:t> </w:t>
      </w:r>
      <w:r>
        <w:rPr>
          <w:spacing w:val="-97"/>
          <w:w w:val="100"/>
        </w:rPr>
      </w:r>
      <w:r>
        <w:rPr/>
        <w:t>治理层负责监督茂业通信的财务报告过程。</w:t>
      </w:r>
    </w:p>
    <w:p>
      <w:pPr>
        <w:spacing w:line="273" w:lineRule="auto" w:before="7"/>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w:t>
      </w:r>
    </w:p>
    <w:p>
      <w:pPr>
        <w:pStyle w:val="BodyText"/>
        <w:spacing w:line="273" w:lineRule="auto"/>
        <w:ind w:left="153" w:right="132"/>
        <w:jc w:val="both"/>
      </w:pPr>
      <w:r>
        <w:rPr>
          <w:spacing w:val="-2"/>
        </w:rPr>
        <w:t>具包含审计意见的审计报告。合理保证是高水平的保证，但并不能保证按照审计准则执行的审计在</w:t>
      </w:r>
      <w:r>
        <w:rPr>
          <w:spacing w:val="-46"/>
        </w:rPr>
        <w:t> </w:t>
      </w:r>
      <w:r>
        <w:rPr>
          <w:spacing w:val="-46"/>
        </w:rPr>
      </w:r>
      <w:r>
        <w:rPr>
          <w:spacing w:val="-2"/>
        </w:rPr>
        <w:t>某一重大错报存在时总能发现。错报可能由舞弊或错误导致，如果合理预期错报单独或汇总起来可</w:t>
      </w:r>
      <w:r>
        <w:rPr>
          <w:spacing w:val="-47"/>
        </w:rPr>
        <w:t> </w:t>
      </w:r>
      <w:r>
        <w:rPr>
          <w:spacing w:val="-47"/>
        </w:rPr>
      </w:r>
      <w:r>
        <w:rPr/>
        <w:t>能影响财务报表使用者依据财务报表作出的经济决策，则通常认为错报是重大的。</w:t>
      </w:r>
    </w:p>
    <w:p>
      <w:pPr>
        <w:pStyle w:val="BodyText"/>
        <w:spacing w:line="273" w:lineRule="auto"/>
        <w:ind w:left="153" w:right="130" w:firstLine="420"/>
        <w:jc w:val="both"/>
      </w:pPr>
      <w:r>
        <w:rPr>
          <w:spacing w:val="-2"/>
        </w:rPr>
        <w:t>在按照审计准则执行审计的过程中，我们运用了职业判断，保持了职业怀疑。同时，我们也执</w:t>
      </w:r>
      <w:r>
        <w:rPr>
          <w:w w:val="100"/>
        </w:rPr>
        <w:t> </w:t>
      </w:r>
      <w:r>
        <w:rPr/>
        <w:t>行以下工作：</w:t>
      </w:r>
    </w:p>
    <w:p>
      <w:pPr>
        <w:pStyle w:val="BodyText"/>
        <w:spacing w:line="273" w:lineRule="auto"/>
        <w:ind w:left="153" w:right="132" w:firstLine="420"/>
        <w:jc w:val="both"/>
      </w:pPr>
      <w:r>
        <w:rPr/>
        <w:t>（1）识别和评估由于舞弊或错误导致的财务报表重大错报风险，设计和实施审计程序以应对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这些风险，并获取充分、适当的审计证据，作为发表审计意见的基础。由于舞弊可能涉及串通、伪</w:t>
      </w:r>
      <w:r>
        <w:rPr>
          <w:spacing w:val="-47"/>
        </w:rPr>
        <w:t> </w:t>
      </w:r>
      <w:r>
        <w:rPr>
          <w:spacing w:val="-47"/>
        </w:rPr>
      </w:r>
      <w:r>
        <w:rPr>
          <w:spacing w:val="-2"/>
        </w:rPr>
        <w:t>造、故意遗漏、虚假陈述或凌驾于内部控制之上，未能发现由于舞弊导致的重大错报的风险高于未</w:t>
      </w:r>
      <w:r>
        <w:rPr>
          <w:spacing w:val="-46"/>
        </w:rPr>
        <w:t> </w:t>
      </w:r>
      <w:r>
        <w:rPr>
          <w:spacing w:val="-46"/>
        </w:rPr>
      </w:r>
      <w:r>
        <w:rPr/>
        <w:t>能发现由于错误导致的重大错报的风险。</w:t>
      </w:r>
    </w:p>
    <w:p>
      <w:pPr>
        <w:pStyle w:val="BodyText"/>
        <w:spacing w:line="240" w:lineRule="auto"/>
        <w:ind w:right="0"/>
        <w:jc w:val="left"/>
      </w:pPr>
      <w:r>
        <w:rPr/>
        <w:t>（2）了解与审计相关的内部控制，以设计恰当的审计程序。</w:t>
      </w:r>
    </w:p>
    <w:p>
      <w:pPr>
        <w:pStyle w:val="BodyText"/>
        <w:spacing w:line="240" w:lineRule="auto" w:before="37"/>
        <w:ind w:right="0"/>
        <w:jc w:val="left"/>
      </w:pPr>
      <w:r>
        <w:rPr/>
        <w:t>（3）评价管理层选用会计政策的恰当性和作出会计估计及相关披露的合理性。</w:t>
      </w:r>
    </w:p>
    <w:p>
      <w:pPr>
        <w:pStyle w:val="BodyText"/>
        <w:spacing w:line="273" w:lineRule="auto" w:before="37"/>
        <w:ind w:left="153" w:right="130" w:firstLine="420"/>
        <w:jc w:val="both"/>
      </w:pPr>
      <w:r>
        <w:rPr/>
        <w:t>（4）对管理层使用持续经营假设的恰当性得出结论。同时，根据获取的审计证据，就可能导</w:t>
      </w:r>
      <w:r>
        <w:rPr>
          <w:w w:val="100"/>
        </w:rPr>
        <w:t> </w:t>
      </w:r>
      <w:r>
        <w:rPr>
          <w:spacing w:val="-2"/>
        </w:rPr>
        <w:t>致对茂业通信持续经营能力产生重大疑虑的事项或情况是否存在重大不确定性得出结论。如果我们</w:t>
      </w:r>
      <w:r>
        <w:rPr>
          <w:spacing w:val="-42"/>
        </w:rPr>
        <w:t> </w:t>
      </w:r>
      <w:r>
        <w:rPr>
          <w:spacing w:val="-42"/>
        </w:rPr>
      </w:r>
      <w:r>
        <w:rPr>
          <w:spacing w:val="-2"/>
        </w:rPr>
        <w:t>得出结论认为存在重大不确定性，审计准则要求我们在审计报告中提请报表使用者注意财务报表中</w:t>
      </w:r>
      <w:r>
        <w:rPr>
          <w:spacing w:val="-42"/>
        </w:rPr>
        <w:t> </w:t>
      </w:r>
      <w:r>
        <w:rPr>
          <w:spacing w:val="-42"/>
        </w:rPr>
      </w:r>
      <w:r>
        <w:rPr>
          <w:spacing w:val="-2"/>
        </w:rPr>
        <w:t>的相关披露；如果披露不充分，我们应当发表非无保留意见。我们的结论基于截至审计报告日可获</w:t>
      </w:r>
      <w:r>
        <w:rPr>
          <w:spacing w:val="-49"/>
        </w:rPr>
        <w:t> </w:t>
      </w:r>
      <w:r>
        <w:rPr>
          <w:spacing w:val="-49"/>
        </w:rPr>
      </w:r>
      <w:r>
        <w:rPr/>
        <w:t>得的信息。然而，未来的事项或情况可能导致茂业通信不能持续经营。</w:t>
      </w:r>
    </w:p>
    <w:p>
      <w:pPr>
        <w:pStyle w:val="BodyText"/>
        <w:spacing w:line="273" w:lineRule="auto"/>
        <w:ind w:left="153" w:right="130" w:firstLine="420"/>
        <w:jc w:val="both"/>
      </w:pPr>
      <w:r>
        <w:rPr>
          <w:spacing w:val="-5"/>
          <w:w w:val="100"/>
        </w:rPr>
        <w:t>（5）评价财务报表的总体列报、结构和内容（包括披露），并评价财务报表是否公允反映相关</w:t>
      </w:r>
      <w:r>
        <w:rPr>
          <w:w w:val="100"/>
        </w:rPr>
        <w:t> </w:t>
      </w:r>
      <w:r>
        <w:rPr/>
        <w:t>交易和事项。</w:t>
      </w:r>
    </w:p>
    <w:p>
      <w:pPr>
        <w:pStyle w:val="BodyText"/>
        <w:spacing w:line="273" w:lineRule="auto"/>
        <w:ind w:left="153" w:right="132" w:firstLine="420"/>
        <w:jc w:val="both"/>
      </w:pPr>
      <w:r>
        <w:rPr/>
        <w:t>（6）就茂业通信中实体或业务活动的财务信息获取充分、适当的审计证据，以对财务报表发</w:t>
      </w:r>
      <w:r>
        <w:rPr>
          <w:w w:val="100"/>
        </w:rPr>
        <w:t> </w:t>
      </w:r>
      <w:r>
        <w:rPr/>
        <w:t>表意见。我们负责指导、监督和执行集团审计。我们对审计意见承担全部责任。</w:t>
      </w:r>
    </w:p>
    <w:p>
      <w:pPr>
        <w:pStyle w:val="BodyText"/>
        <w:spacing w:line="273" w:lineRule="auto"/>
        <w:ind w:left="153" w:right="130" w:firstLine="420"/>
        <w:jc w:val="both"/>
      </w:pPr>
      <w:r>
        <w:rPr>
          <w:spacing w:val="-2"/>
        </w:rPr>
        <w:t>我们与治理层就计划的审计范围、时间安排和重大审计发现等事项进行沟通，包括沟通我们在</w:t>
      </w:r>
      <w:r>
        <w:rPr>
          <w:w w:val="100"/>
        </w:rPr>
        <w:t> </w:t>
      </w:r>
      <w:r>
        <w:rPr/>
        <w:t>审计中识别出的值得关注的内部控制缺陷。</w:t>
      </w:r>
    </w:p>
    <w:p>
      <w:pPr>
        <w:pStyle w:val="BodyText"/>
        <w:spacing w:line="273" w:lineRule="auto"/>
        <w:ind w:left="153" w:right="130" w:firstLine="420"/>
        <w:jc w:val="both"/>
      </w:pPr>
      <w:r>
        <w:rPr>
          <w:spacing w:val="-2"/>
        </w:rPr>
        <w:t>我们还就已遵守与独立性相关的职业道德要求向治理层提供声明，并与治理层沟通可能被合理</w:t>
      </w:r>
      <w:r>
        <w:rPr>
          <w:w w:val="100"/>
        </w:rPr>
        <w:t> </w:t>
      </w:r>
      <w:r>
        <w:rPr>
          <w:spacing w:val="-5"/>
          <w:w w:val="100"/>
        </w:rPr>
        <w:t>认为影响我们独立性的所有关系和其他事项，以及相关的防范措施（如适用）。</w:t>
      </w:r>
    </w:p>
    <w:p>
      <w:pPr>
        <w:spacing w:after="0" w:line="273" w:lineRule="auto"/>
        <w:jc w:val="both"/>
        <w:sectPr>
          <w:pgSz w:w="11910" w:h="16840"/>
          <w:pgMar w:header="884" w:footer="1000" w:top="1140" w:bottom="1200" w:left="1320" w:right="1280"/>
        </w:sectPr>
      </w:pPr>
    </w:p>
    <w:p>
      <w:pPr>
        <w:pStyle w:val="BodyText"/>
        <w:spacing w:line="273" w:lineRule="auto" w:before="131"/>
        <w:ind w:left="253" w:right="310" w:firstLine="420"/>
        <w:jc w:val="both"/>
      </w:pPr>
      <w:r>
        <w:rPr>
          <w:spacing w:val="-2"/>
        </w:rPr>
        <w:t>从与治理层沟通过的事项中，我们确定哪些事项对本期财务报表审计最为重要，因而构成关键</w:t>
      </w:r>
      <w:r>
        <w:rPr>
          <w:w w:val="100"/>
        </w:rPr>
        <w:t> </w:t>
      </w:r>
      <w:r>
        <w:rPr>
          <w:spacing w:val="-2"/>
        </w:rPr>
        <w:t>审计事项。我们在审计报告中描述这些事项，除非法律法规禁止公开披露这些事项，或在极少数情</w:t>
      </w:r>
      <w:r>
        <w:rPr>
          <w:spacing w:val="-46"/>
        </w:rPr>
        <w:t> </w:t>
      </w:r>
      <w:r>
        <w:rPr>
          <w:spacing w:val="-46"/>
        </w:rPr>
      </w:r>
      <w:r>
        <w:rPr>
          <w:spacing w:val="-2"/>
        </w:rPr>
        <w:t>形下，如果合理预期在审计报告中沟通某事项造成的负面后果超过在公众利益方面产生的益处，我</w:t>
      </w:r>
      <w:r>
        <w:rPr>
          <w:spacing w:val="-44"/>
        </w:rPr>
        <w:t> </w:t>
      </w:r>
      <w:r>
        <w:rPr>
          <w:spacing w:val="-44"/>
        </w:rPr>
      </w:r>
      <w:r>
        <w:rPr/>
        <w:t>们确定不应在审计报告中沟通该事项。</w:t>
      </w:r>
    </w:p>
    <w:p>
      <w:pPr>
        <w:spacing w:line="240" w:lineRule="auto" w:before="6"/>
        <w:rPr>
          <w:rFonts w:ascii="宋体" w:hAnsi="宋体" w:cs="宋体" w:eastAsia="宋体" w:hint="default"/>
          <w:sz w:val="24"/>
          <w:szCs w:val="24"/>
        </w:rPr>
      </w:pPr>
    </w:p>
    <w:p>
      <w:pPr>
        <w:pStyle w:val="BodyText"/>
        <w:tabs>
          <w:tab w:pos="6553" w:val="left" w:leader="none"/>
        </w:tabs>
        <w:spacing w:line="408" w:lineRule="auto" w:before="0"/>
        <w:ind w:left="3719" w:right="713" w:hanging="1155"/>
        <w:jc w:val="left"/>
      </w:pPr>
      <w:r>
        <w:rPr>
          <w:spacing w:val="-2"/>
        </w:rPr>
        <w:t>中兴华会计师事务所（特殊普通合伙）</w:t>
        <w:tab/>
        <w:t>中国注册会计师：王广鹏</w:t>
      </w:r>
      <w:r>
        <w:rPr>
          <w:spacing w:val="-85"/>
        </w:rPr>
        <w:t> </w:t>
      </w:r>
      <w:r>
        <w:rPr>
          <w:spacing w:val="-85"/>
        </w:rPr>
      </w:r>
      <w:r>
        <w:rPr>
          <w:spacing w:val="-2"/>
        </w:rPr>
        <w:t>中国·北京</w:t>
        <w:tab/>
        <w:t>中国注册会计师：刘秀礼</w:t>
      </w:r>
    </w:p>
    <w:p>
      <w:pPr>
        <w:pStyle w:val="BodyText"/>
        <w:spacing w:line="240" w:lineRule="auto" w:before="46"/>
        <w:ind w:left="0" w:right="718"/>
        <w:jc w:val="right"/>
      </w:pPr>
      <w:r>
        <w:rPr>
          <w:spacing w:val="-2"/>
        </w:rPr>
        <w:t>二○一八年四月一十三日</w:t>
      </w:r>
    </w:p>
    <w:p>
      <w:pPr>
        <w:pStyle w:val="Heading2"/>
        <w:spacing w:line="240" w:lineRule="auto" w:before="37"/>
        <w:ind w:left="675" w:right="713"/>
        <w:jc w:val="left"/>
        <w:rPr>
          <w:b w:val="0"/>
          <w:bCs w:val="0"/>
        </w:rPr>
      </w:pPr>
      <w:bookmarkStart w:name="_TOC_250002" w:id="2"/>
      <w:r>
        <w:rPr/>
        <w:t>财务报表</w:t>
      </w:r>
      <w:bookmarkEnd w:id="2"/>
      <w:r>
        <w:rPr>
          <w:b w:val="0"/>
          <w:bCs w:val="0"/>
        </w:rPr>
      </w:r>
    </w:p>
    <w:p>
      <w:pPr>
        <w:spacing w:line="240" w:lineRule="auto" w:before="1"/>
        <w:rPr>
          <w:rFonts w:ascii="宋体" w:hAnsi="宋体" w:cs="宋体" w:eastAsia="宋体" w:hint="default"/>
          <w:b/>
          <w:bCs/>
          <w:sz w:val="20"/>
          <w:szCs w:val="20"/>
        </w:rPr>
      </w:pPr>
    </w:p>
    <w:p>
      <w:pPr>
        <w:spacing w:before="36"/>
        <w:ind w:left="253" w:right="713" w:firstLine="0"/>
        <w:jc w:val="left"/>
        <w:rPr>
          <w:rFonts w:ascii="宋体" w:hAnsi="宋体" w:cs="宋体" w:eastAsia="宋体" w:hint="default"/>
          <w:sz w:val="21"/>
          <w:szCs w:val="21"/>
        </w:rPr>
      </w:pPr>
      <w:r>
        <w:rPr>
          <w:rFonts w:ascii="宋体" w:hAnsi="宋体" w:cs="宋体" w:eastAsia="宋体" w:hint="default"/>
          <w:b/>
          <w:bCs/>
          <w:sz w:val="21"/>
          <w:szCs w:val="21"/>
        </w:rPr>
        <w:t>1、合并资产负债表</w:t>
      </w:r>
      <w:r>
        <w:rPr>
          <w:rFonts w:ascii="宋体" w:hAnsi="宋体" w:cs="宋体" w:eastAsia="宋体" w:hint="default"/>
          <w:sz w:val="21"/>
          <w:szCs w:val="21"/>
        </w:rPr>
      </w:r>
    </w:p>
    <w:p>
      <w:pPr>
        <w:pStyle w:val="BodyText"/>
        <w:tabs>
          <w:tab w:pos="6661" w:val="left" w:leader="none"/>
        </w:tabs>
        <w:spacing w:line="240" w:lineRule="auto" w:before="20"/>
        <w:ind w:left="673" w:right="713"/>
        <w:jc w:val="left"/>
      </w:pPr>
      <w:r>
        <w:rPr>
          <w:spacing w:val="-2"/>
        </w:rPr>
        <w:t>编制单位：茂业通信网络股份有限公司</w:t>
        <w:tab/>
        <w:t>金额单位：人民币元</w:t>
      </w:r>
    </w:p>
    <w:p>
      <w:pPr>
        <w:spacing w:line="240" w:lineRule="auto" w:before="8"/>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253"/>
        <w:gridCol w:w="1277"/>
        <w:gridCol w:w="1982"/>
        <w:gridCol w:w="1843"/>
      </w:tblGrid>
      <w:tr>
        <w:trPr>
          <w:trHeight w:val="448" w:hRule="exact"/>
        </w:trPr>
        <w:tc>
          <w:tcPr>
            <w:tcW w:w="4253" w:type="dxa"/>
            <w:tcBorders>
              <w:top w:val="single" w:sz="31" w:space="0" w:color="D3D3D3"/>
              <w:left w:val="single" w:sz="4" w:space="0" w:color="000000"/>
              <w:bottom w:val="single" w:sz="26" w:space="0" w:color="D3D3D3"/>
              <w:right w:val="single" w:sz="4" w:space="0" w:color="000000"/>
            </w:tcBorders>
          </w:tcPr>
          <w:p>
            <w:pPr>
              <w:pStyle w:val="TableParagraph"/>
              <w:tabs>
                <w:tab w:pos="1761" w:val="left" w:leader="none"/>
                <w:tab w:pos="2303" w:val="left" w:leader="none"/>
                <w:tab w:pos="4219" w:val="left" w:leader="none"/>
              </w:tabs>
              <w:spacing w:line="240" w:lineRule="auto" w:before="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w:t>
              <w:tab/>
              <w:t>目</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62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55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6" w:hRule="exact"/>
        </w:trPr>
        <w:tc>
          <w:tcPr>
            <w:tcW w:w="4253" w:type="dxa"/>
            <w:tcBorders>
              <w:top w:val="single" w:sz="26" w:space="0" w:color="D3D3D3"/>
              <w:left w:val="single" w:sz="4" w:space="0" w:color="000000"/>
              <w:bottom w:val="single" w:sz="21" w:space="0" w:color="D3D3D3"/>
              <w:right w:val="single" w:sz="4" w:space="0" w:color="000000"/>
            </w:tcBorders>
          </w:tcPr>
          <w:p>
            <w:pPr>
              <w:pStyle w:val="TableParagraph"/>
              <w:tabs>
                <w:tab w:pos="4219" w:val="left" w:leader="none"/>
              </w:tabs>
              <w:spacing w:line="240" w:lineRule="auto" w:before="1"/>
              <w:ind w:left="24"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流动资产：</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253" w:type="dxa"/>
            <w:tcBorders>
              <w:top w:val="single" w:sz="21" w:space="0" w:color="D3D3D3"/>
              <w:left w:val="single" w:sz="4" w:space="0" w:color="000000"/>
              <w:bottom w:val="single" w:sz="10" w:space="0" w:color="D3D3D3"/>
              <w:right w:val="single" w:sz="4" w:space="0" w:color="000000"/>
            </w:tcBorders>
          </w:tcPr>
          <w:p>
            <w:pPr>
              <w:pStyle w:val="TableParagraph"/>
              <w:tabs>
                <w:tab w:pos="4219" w:val="left" w:leader="none"/>
              </w:tabs>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货币资金</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六、1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345,057,871.73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338,214,720.30</w:t>
            </w:r>
          </w:p>
        </w:tc>
      </w:tr>
      <w:tr>
        <w:trPr>
          <w:trHeight w:val="293" w:hRule="exact"/>
        </w:trPr>
        <w:tc>
          <w:tcPr>
            <w:tcW w:w="4253" w:type="dxa"/>
            <w:tcBorders>
              <w:top w:val="single" w:sz="10" w:space="0" w:color="D3D3D3"/>
              <w:left w:val="single" w:sz="4" w:space="0" w:color="000000"/>
              <w:bottom w:val="single" w:sz="24"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以公允价值计量且其变动计入当期损益的金融资产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六、2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30,104,182.24</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11"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衍生金融资产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应收票据</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六、3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9,820,000.00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24"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应收账款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六、4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689,459,688.74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488,840,417.93</w:t>
            </w: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预付款项</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六、5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53,747,534.32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29,001,732.45</w:t>
            </w:r>
          </w:p>
        </w:tc>
      </w:tr>
      <w:tr>
        <w:trPr>
          <w:trHeight w:val="293" w:hRule="exact"/>
        </w:trPr>
        <w:tc>
          <w:tcPr>
            <w:tcW w:w="4253" w:type="dxa"/>
            <w:tcBorders>
              <w:top w:val="single" w:sz="24" w:space="0" w:color="D3D3D3"/>
              <w:left w:val="single" w:sz="4" w:space="0" w:color="000000"/>
              <w:bottom w:val="single" w:sz="10"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应收利息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六、6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937,078.84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810,997.26</w:t>
            </w:r>
          </w:p>
        </w:tc>
      </w:tr>
      <w:tr>
        <w:trPr>
          <w:trHeight w:val="295" w:hRule="exact"/>
        </w:trPr>
        <w:tc>
          <w:tcPr>
            <w:tcW w:w="4253" w:type="dxa"/>
            <w:tcBorders>
              <w:top w:val="single" w:sz="10" w:space="0" w:color="D3D3D3"/>
              <w:left w:val="single" w:sz="4" w:space="0" w:color="000000"/>
              <w:bottom w:val="single" w:sz="24" w:space="0" w:color="D3D3D3"/>
              <w:right w:val="single" w:sz="4" w:space="0" w:color="000000"/>
            </w:tcBorders>
          </w:tcPr>
          <w:p>
            <w:pPr>
              <w:pStyle w:val="TableParagraph"/>
              <w:tabs>
                <w:tab w:pos="4219"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应收股利</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其他应收款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六、7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30,500,802.87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34,333,070.02</w:t>
            </w:r>
          </w:p>
        </w:tc>
      </w:tr>
      <w:tr>
        <w:trPr>
          <w:trHeight w:val="293" w:hRule="exact"/>
        </w:trPr>
        <w:tc>
          <w:tcPr>
            <w:tcW w:w="4253" w:type="dxa"/>
            <w:tcBorders>
              <w:top w:val="single" w:sz="24" w:space="0" w:color="D3D3D3"/>
              <w:left w:val="single" w:sz="4" w:space="0" w:color="000000"/>
              <w:bottom w:val="single" w:sz="11"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存货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六、8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5,342,112.31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3,298,028.05</w:t>
            </w: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有待售的资产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0"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一年内到期的非流动资产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23"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六、9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186,846,451.45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224,688,300.37</w:t>
            </w:r>
          </w:p>
        </w:tc>
      </w:tr>
      <w:tr>
        <w:trPr>
          <w:trHeight w:val="293" w:hRule="exact"/>
        </w:trPr>
        <w:tc>
          <w:tcPr>
            <w:tcW w:w="4253" w:type="dxa"/>
            <w:tcBorders>
              <w:top w:val="single" w:sz="23" w:space="0" w:color="D3D3D3"/>
              <w:left w:val="single" w:sz="4" w:space="0" w:color="000000"/>
              <w:bottom w:val="single" w:sz="10" w:space="0" w:color="D3D3D3"/>
              <w:right w:val="single" w:sz="4" w:space="0" w:color="000000"/>
            </w:tcBorders>
          </w:tcPr>
          <w:p>
            <w:pPr>
              <w:pStyle w:val="TableParagraph"/>
              <w:tabs>
                <w:tab w:pos="4219"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流动资产合计</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1,351,815,722.50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1,119,187,266.38</w:t>
            </w:r>
          </w:p>
        </w:tc>
      </w:tr>
      <w:tr>
        <w:trPr>
          <w:trHeight w:val="32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253" w:type="dxa"/>
            <w:tcBorders>
              <w:top w:val="single" w:sz="14" w:space="0" w:color="D3D3D3"/>
              <w:left w:val="single" w:sz="4" w:space="0" w:color="000000"/>
              <w:bottom w:val="single" w:sz="11" w:space="0" w:color="D3D3D3"/>
              <w:right w:val="single" w:sz="4" w:space="0" w:color="000000"/>
            </w:tcBorders>
          </w:tcPr>
          <w:p>
            <w:pPr>
              <w:pStyle w:val="TableParagraph"/>
              <w:tabs>
                <w:tab w:pos="4219" w:val="left" w:leader="none"/>
              </w:tabs>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发放委托贷款及垫款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24"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可供出售金融资产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10" w:space="0" w:color="D3D3D3"/>
              <w:right w:val="single" w:sz="4" w:space="0" w:color="000000"/>
            </w:tcBorders>
          </w:tcPr>
          <w:p>
            <w:pPr>
              <w:pStyle w:val="TableParagraph"/>
              <w:tabs>
                <w:tab w:pos="4219"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持有至到期投资</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53" w:type="dxa"/>
            <w:tcBorders>
              <w:top w:val="single" w:sz="10" w:space="0" w:color="D3D3D3"/>
              <w:left w:val="single" w:sz="4" w:space="0" w:color="000000"/>
              <w:bottom w:val="single" w:sz="24" w:space="0" w:color="D3D3D3"/>
              <w:right w:val="single" w:sz="4" w:space="0" w:color="000000"/>
            </w:tcBorders>
          </w:tcPr>
          <w:p>
            <w:pPr>
              <w:pStyle w:val="TableParagraph"/>
              <w:tabs>
                <w:tab w:pos="4219"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长期应收款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11"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长期股权投资</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投资性房地产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固定资产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六、10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73,271,014.26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66,327,258.75</w:t>
            </w:r>
          </w:p>
        </w:tc>
      </w:tr>
      <w:tr>
        <w:trPr>
          <w:trHeight w:val="293" w:hRule="exact"/>
        </w:trPr>
        <w:tc>
          <w:tcPr>
            <w:tcW w:w="4253" w:type="dxa"/>
            <w:tcBorders>
              <w:top w:val="single" w:sz="11" w:space="0" w:color="D3D3D3"/>
              <w:left w:val="single" w:sz="4" w:space="0" w:color="000000"/>
              <w:bottom w:val="single" w:sz="10"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在建工程</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工程物资</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11"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固定资产清理</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生产性生物资产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油气资产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无形资产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六、11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49,339,193.80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57,351,414.61</w:t>
            </w:r>
          </w:p>
        </w:tc>
      </w:tr>
      <w:tr>
        <w:trPr>
          <w:trHeight w:val="293" w:hRule="exact"/>
        </w:trPr>
        <w:tc>
          <w:tcPr>
            <w:tcW w:w="4253" w:type="dxa"/>
            <w:tcBorders>
              <w:top w:val="single" w:sz="11" w:space="0" w:color="D3D3D3"/>
              <w:left w:val="single" w:sz="4" w:space="0" w:color="000000"/>
              <w:bottom w:val="single" w:sz="24"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开发支出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10"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商誉</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六、12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1,738,912,402.40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1,738,912,401.40</w:t>
            </w:r>
          </w:p>
        </w:tc>
      </w:tr>
      <w:tr>
        <w:trPr>
          <w:trHeight w:val="295" w:hRule="exact"/>
        </w:trPr>
        <w:tc>
          <w:tcPr>
            <w:tcW w:w="4253" w:type="dxa"/>
            <w:tcBorders>
              <w:top w:val="single" w:sz="10" w:space="0" w:color="D3D3D3"/>
              <w:left w:val="single" w:sz="4" w:space="0" w:color="000000"/>
              <w:bottom w:val="single" w:sz="11" w:space="0" w:color="D3D3D3"/>
              <w:right w:val="single" w:sz="4" w:space="0" w:color="000000"/>
            </w:tcBorders>
          </w:tcPr>
          <w:p>
            <w:pPr>
              <w:pStyle w:val="TableParagraph"/>
              <w:tabs>
                <w:tab w:pos="4219"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长期待摊费用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六、13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894,214.25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1,612,085.63</w:t>
            </w:r>
          </w:p>
        </w:tc>
      </w:tr>
    </w:tbl>
    <w:p>
      <w:pPr>
        <w:spacing w:after="0" w:line="232" w:lineRule="exact"/>
        <w:jc w:val="right"/>
        <w:rPr>
          <w:rFonts w:ascii="宋体" w:hAnsi="宋体" w:cs="宋体" w:eastAsia="宋体" w:hint="default"/>
          <w:sz w:val="18"/>
          <w:szCs w:val="18"/>
        </w:rPr>
        <w:sectPr>
          <w:pgSz w:w="11910" w:h="16840"/>
          <w:pgMar w:header="884" w:footer="1000" w:top="1140" w:bottom="1200" w:left="1220" w:right="1100"/>
        </w:sectPr>
      </w:pPr>
    </w:p>
    <w:p>
      <w:pPr>
        <w:spacing w:line="240" w:lineRule="auto" w:before="4"/>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253"/>
        <w:gridCol w:w="1277"/>
        <w:gridCol w:w="1982"/>
        <w:gridCol w:w="1843"/>
      </w:tblGrid>
      <w:tr>
        <w:trPr>
          <w:trHeight w:val="293" w:hRule="exact"/>
        </w:trPr>
        <w:tc>
          <w:tcPr>
            <w:tcW w:w="4253" w:type="dxa"/>
            <w:tcBorders>
              <w:top w:val="single" w:sz="14" w:space="0" w:color="D3D3D3"/>
              <w:left w:val="single" w:sz="4" w:space="0" w:color="000000"/>
              <w:bottom w:val="single" w:sz="10" w:space="0" w:color="D3D3D3"/>
              <w:right w:val="single" w:sz="4" w:space="0" w:color="000000"/>
            </w:tcBorders>
          </w:tcPr>
          <w:p>
            <w:pPr>
              <w:pStyle w:val="TableParagraph"/>
              <w:tabs>
                <w:tab w:pos="4219" w:val="left" w:leader="none"/>
              </w:tabs>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递延所得税资产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8,953,481.53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6,511,352.84</w:t>
            </w:r>
          </w:p>
        </w:tc>
      </w:tr>
      <w:tr>
        <w:trPr>
          <w:trHeight w:val="293" w:hRule="exact"/>
        </w:trPr>
        <w:tc>
          <w:tcPr>
            <w:tcW w:w="4253" w:type="dxa"/>
            <w:tcBorders>
              <w:top w:val="single" w:sz="10" w:space="0" w:color="D3D3D3"/>
              <w:left w:val="single" w:sz="4" w:space="0" w:color="000000"/>
              <w:bottom w:val="single" w:sz="15" w:space="0" w:color="D3D3D3"/>
              <w:right w:val="single" w:sz="4" w:space="0" w:color="000000"/>
            </w:tcBorders>
          </w:tcPr>
          <w:p>
            <w:pPr>
              <w:pStyle w:val="TableParagraph"/>
              <w:tabs>
                <w:tab w:pos="4219"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其他非流动资产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b/>
                <w:w w:val="95"/>
                <w:sz w:val="18"/>
              </w:rPr>
              <w:t>1,871,370,306.24</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b/>
                <w:w w:val="95"/>
                <w:sz w:val="18"/>
              </w:rPr>
              <w:t>1,870,714,513.23</w:t>
            </w:r>
            <w:r>
              <w:rPr>
                <w:rFonts w:ascii="宋体"/>
                <w:sz w:val="18"/>
              </w:rPr>
            </w:r>
          </w:p>
        </w:tc>
      </w:tr>
      <w:tr>
        <w:trPr>
          <w:trHeight w:val="499"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宋体" w:hAnsi="宋体" w:cs="宋体" w:eastAsia="宋体" w:hint="default"/>
                <w:sz w:val="18"/>
                <w:szCs w:val="18"/>
              </w:rPr>
            </w:pPr>
            <w:r>
              <w:rPr>
                <w:rFonts w:ascii="宋体"/>
                <w:b/>
                <w:w w:val="95"/>
                <w:sz w:val="18"/>
              </w:rPr>
              <w:t>3,223,186,028.74</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宋体" w:hAnsi="宋体" w:cs="宋体" w:eastAsia="宋体" w:hint="default"/>
                <w:sz w:val="18"/>
                <w:szCs w:val="18"/>
              </w:rPr>
            </w:pPr>
            <w:r>
              <w:rPr>
                <w:rFonts w:ascii="宋体"/>
                <w:b/>
                <w:w w:val="95"/>
                <w:sz w:val="18"/>
              </w:rPr>
              <w:t>2,989,901,779.61</w:t>
            </w:r>
            <w:r>
              <w:rPr>
                <w:rFonts w:ascii="宋体"/>
                <w:sz w:val="18"/>
              </w:rPr>
            </w:r>
          </w:p>
        </w:tc>
      </w:tr>
      <w:tr>
        <w:trPr>
          <w:trHeight w:val="29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53" w:type="dxa"/>
            <w:tcBorders>
              <w:top w:val="single" w:sz="10" w:space="0" w:color="D3D3D3"/>
              <w:left w:val="single" w:sz="4" w:space="0" w:color="000000"/>
              <w:bottom w:val="single" w:sz="11" w:space="0" w:color="D3D3D3"/>
              <w:right w:val="single" w:sz="4" w:space="0" w:color="000000"/>
            </w:tcBorders>
          </w:tcPr>
          <w:p>
            <w:pPr>
              <w:pStyle w:val="TableParagraph"/>
              <w:tabs>
                <w:tab w:pos="4219"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短期借款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20,000,000.00</w:t>
            </w: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向中央银行借款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吸收存款及同业存放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0"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拆入资金</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以公允价值计量且其变动计入当期损益的金融负债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衍生金融负债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24"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应付票据</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11"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应付账款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314,946,180.67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281,530,477.77</w:t>
            </w:r>
          </w:p>
        </w:tc>
      </w:tr>
      <w:tr>
        <w:trPr>
          <w:trHeight w:val="29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74,553,230.16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70,630,774.66</w:t>
            </w:r>
          </w:p>
        </w:tc>
      </w:tr>
      <w:tr>
        <w:trPr>
          <w:trHeight w:val="29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71,290,485.04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49,428,760.62</w:t>
            </w:r>
          </w:p>
        </w:tc>
      </w:tr>
      <w:tr>
        <w:trPr>
          <w:trHeight w:val="293" w:hRule="exact"/>
        </w:trPr>
        <w:tc>
          <w:tcPr>
            <w:tcW w:w="4253" w:type="dxa"/>
            <w:tcBorders>
              <w:top w:val="single" w:sz="11" w:space="0" w:color="D3D3D3"/>
              <w:left w:val="single" w:sz="4" w:space="0" w:color="000000"/>
              <w:bottom w:val="single" w:sz="10"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应交税费</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38,694,920.26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27,146,288.81</w:t>
            </w: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应付利息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六、20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24,166.67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24,166.69</w:t>
            </w:r>
          </w:p>
        </w:tc>
      </w:tr>
      <w:tr>
        <w:trPr>
          <w:trHeight w:val="295" w:hRule="exact"/>
        </w:trPr>
        <w:tc>
          <w:tcPr>
            <w:tcW w:w="4253" w:type="dxa"/>
            <w:tcBorders>
              <w:top w:val="single" w:sz="10" w:space="0" w:color="D3D3D3"/>
              <w:left w:val="single" w:sz="4" w:space="0" w:color="000000"/>
              <w:bottom w:val="single" w:sz="24" w:space="0" w:color="D3D3D3"/>
              <w:right w:val="single" w:sz="4" w:space="0" w:color="000000"/>
            </w:tcBorders>
          </w:tcPr>
          <w:p>
            <w:pPr>
              <w:pStyle w:val="TableParagraph"/>
              <w:tabs>
                <w:tab w:pos="4219"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应付股利</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六、21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874,026.67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874,026.67</w:t>
            </w: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其他应付款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六、22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21,270,181.56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36,803,026.59</w:t>
            </w: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应付分保账款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保险合同准备金</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23"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代理买卖证券款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3" w:space="0" w:color="D3D3D3"/>
              <w:left w:val="single" w:sz="4" w:space="0" w:color="000000"/>
              <w:bottom w:val="single" w:sz="23" w:space="0" w:color="D3D3D3"/>
              <w:right w:val="single" w:sz="4" w:space="0" w:color="000000"/>
            </w:tcBorders>
          </w:tcPr>
          <w:p>
            <w:pPr>
              <w:pStyle w:val="TableParagraph"/>
              <w:tabs>
                <w:tab w:pos="4219"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代理承销证券款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3" w:space="0" w:color="D3D3D3"/>
              <w:left w:val="single" w:sz="4" w:space="0" w:color="000000"/>
              <w:bottom w:val="single" w:sz="11" w:space="0" w:color="D3D3D3"/>
              <w:right w:val="single" w:sz="4" w:space="0" w:color="000000"/>
            </w:tcBorders>
          </w:tcPr>
          <w:p>
            <w:pPr>
              <w:pStyle w:val="TableParagraph"/>
              <w:tabs>
                <w:tab w:pos="4219"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持有待售负债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一年内到期的非流动负债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六、23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18,122,507.87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42,826,943.05</w:t>
            </w:r>
          </w:p>
        </w:tc>
      </w:tr>
      <w:tr>
        <w:trPr>
          <w:trHeight w:val="293" w:hRule="exact"/>
        </w:trPr>
        <w:tc>
          <w:tcPr>
            <w:tcW w:w="4253" w:type="dxa"/>
            <w:tcBorders>
              <w:top w:val="single" w:sz="11" w:space="0" w:color="D3D3D3"/>
              <w:left w:val="single" w:sz="4" w:space="0" w:color="000000"/>
              <w:bottom w:val="single" w:sz="24"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流动负债合计</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b/>
                <w:w w:val="95"/>
                <w:sz w:val="18"/>
              </w:rPr>
              <w:t>559,775,698.90</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b/>
                <w:w w:val="95"/>
                <w:sz w:val="18"/>
              </w:rPr>
              <w:t>529,264,464.86</w:t>
            </w:r>
            <w:r>
              <w:rPr>
                <w:rFonts w:ascii="宋体"/>
                <w:sz w:val="18"/>
              </w:rPr>
            </w: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253" w:type="dxa"/>
            <w:tcBorders>
              <w:top w:val="single" w:sz="24" w:space="0" w:color="D3D3D3"/>
              <w:left w:val="single" w:sz="4" w:space="0" w:color="000000"/>
              <w:bottom w:val="single" w:sz="10"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长期借款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53" w:type="dxa"/>
            <w:tcBorders>
              <w:top w:val="single" w:sz="10" w:space="0" w:color="D3D3D3"/>
              <w:left w:val="single" w:sz="4" w:space="0" w:color="000000"/>
              <w:bottom w:val="single" w:sz="24" w:space="0" w:color="D3D3D3"/>
              <w:right w:val="single" w:sz="4" w:space="0" w:color="000000"/>
            </w:tcBorders>
          </w:tcPr>
          <w:p>
            <w:pPr>
              <w:pStyle w:val="TableParagraph"/>
              <w:tabs>
                <w:tab w:pos="4219"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应付债券</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其中：优先股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11" w:space="0" w:color="D3D3D3"/>
              <w:right w:val="single" w:sz="4" w:space="0" w:color="000000"/>
            </w:tcBorders>
          </w:tcPr>
          <w:p>
            <w:pPr>
              <w:pStyle w:val="TableParagraph"/>
              <w:tabs>
                <w:tab w:pos="4219"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永续债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长期应付款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0"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长期应付职工薪酬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专项应付款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六、24</w:t>
            </w: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3,000,000.00</w:t>
            </w:r>
          </w:p>
        </w:tc>
      </w:tr>
      <w:tr>
        <w:trPr>
          <w:trHeight w:val="293" w:hRule="exact"/>
        </w:trPr>
        <w:tc>
          <w:tcPr>
            <w:tcW w:w="4253" w:type="dxa"/>
            <w:tcBorders>
              <w:top w:val="single" w:sz="10" w:space="0" w:color="D3D3D3"/>
              <w:left w:val="single" w:sz="4" w:space="0" w:color="000000"/>
              <w:bottom w:val="single" w:sz="11" w:space="0" w:color="D3D3D3"/>
              <w:right w:val="single" w:sz="4" w:space="0" w:color="000000"/>
            </w:tcBorders>
          </w:tcPr>
          <w:p>
            <w:pPr>
              <w:pStyle w:val="TableParagraph"/>
              <w:tabs>
                <w:tab w:pos="4219"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预计负债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24"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递延收益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4" w:space="0" w:color="D3D3D3"/>
              <w:left w:val="single" w:sz="4" w:space="0" w:color="000000"/>
              <w:bottom w:val="single" w:sz="24" w:space="0" w:color="D3D3D3"/>
              <w:right w:val="single" w:sz="4" w:space="0" w:color="000000"/>
            </w:tcBorders>
          </w:tcPr>
          <w:p>
            <w:pPr>
              <w:pStyle w:val="TableParagraph"/>
              <w:tabs>
                <w:tab w:pos="4219"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递延所得税负债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六、14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2,381,762.97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6"/>
              <w:jc w:val="right"/>
              <w:rPr>
                <w:rFonts w:ascii="宋体" w:hAnsi="宋体" w:cs="宋体" w:eastAsia="宋体" w:hint="default"/>
                <w:sz w:val="18"/>
                <w:szCs w:val="18"/>
              </w:rPr>
            </w:pPr>
            <w:r>
              <w:rPr>
                <w:rFonts w:ascii="宋体"/>
                <w:sz w:val="18"/>
              </w:rPr>
              <w:t>2,804,200.34</w:t>
            </w:r>
          </w:p>
        </w:tc>
      </w:tr>
      <w:tr>
        <w:trPr>
          <w:trHeight w:val="293" w:hRule="exact"/>
        </w:trPr>
        <w:tc>
          <w:tcPr>
            <w:tcW w:w="4253" w:type="dxa"/>
            <w:tcBorders>
              <w:top w:val="single" w:sz="24" w:space="0" w:color="D3D3D3"/>
              <w:left w:val="single" w:sz="4" w:space="0" w:color="000000"/>
              <w:bottom w:val="single" w:sz="11" w:space="0" w:color="D3D3D3"/>
              <w:right w:val="single" w:sz="4" w:space="0" w:color="000000"/>
            </w:tcBorders>
          </w:tcPr>
          <w:p>
            <w:pPr>
              <w:pStyle w:val="TableParagraph"/>
              <w:tabs>
                <w:tab w:pos="4219"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其他非流动负债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0" w:space="0" w:color="D3D3D3"/>
              <w:right w:val="single" w:sz="4" w:space="0" w:color="000000"/>
            </w:tcBorders>
          </w:tcPr>
          <w:p>
            <w:pPr>
              <w:pStyle w:val="TableParagraph"/>
              <w:tabs>
                <w:tab w:pos="4219"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非流动负债合计</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b/>
                <w:sz w:val="18"/>
              </w:rPr>
              <w:t>2,381,762.97</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b/>
                <w:sz w:val="18"/>
              </w:rPr>
              <w:t>5,804,200.34</w:t>
            </w:r>
            <w:r>
              <w:rPr>
                <w:rFonts w:ascii="宋体"/>
                <w:sz w:val="18"/>
              </w:rPr>
            </w: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负债合计</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b/>
                <w:w w:val="95"/>
                <w:sz w:val="18"/>
              </w:rPr>
              <w:t>562,157,461.87</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b/>
                <w:w w:val="95"/>
                <w:sz w:val="18"/>
              </w:rPr>
              <w:t>535,068,665.20</w:t>
            </w:r>
            <w:r>
              <w:rPr>
                <w:rFonts w:ascii="宋体"/>
                <w:sz w:val="18"/>
              </w:rPr>
            </w:r>
          </w:p>
        </w:tc>
      </w:tr>
      <w:tr>
        <w:trPr>
          <w:trHeight w:val="295" w:hRule="exact"/>
        </w:trPr>
        <w:tc>
          <w:tcPr>
            <w:tcW w:w="4253" w:type="dxa"/>
            <w:tcBorders>
              <w:top w:val="single" w:sz="10" w:space="0" w:color="D3D3D3"/>
              <w:left w:val="single" w:sz="4" w:space="0" w:color="000000"/>
              <w:bottom w:val="single" w:sz="11" w:space="0" w:color="D3D3D3"/>
              <w:right w:val="single" w:sz="4" w:space="0" w:color="000000"/>
            </w:tcBorders>
          </w:tcPr>
          <w:p>
            <w:pPr>
              <w:pStyle w:val="TableParagraph"/>
              <w:tabs>
                <w:tab w:pos="4219"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w:t>
            </w:r>
            <w:r>
              <w:rPr>
                <w:rFonts w:ascii="宋体" w:hAnsi="宋体" w:cs="宋体" w:eastAsia="宋体" w:hint="default"/>
                <w:spacing w:val="-92"/>
                <w:sz w:val="18"/>
                <w:szCs w:val="18"/>
                <w:shd w:fill="D3D3D3" w:color="auto" w:val="clear"/>
              </w:rPr>
              <w:t>）</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股本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六、25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621,826,786.00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621,826,786.00</w:t>
            </w: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其他权益工具</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11"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其中：优先股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1" w:space="0" w:color="D3D3D3"/>
              <w:left w:val="single" w:sz="4" w:space="0" w:color="000000"/>
              <w:bottom w:val="single" w:sz="23" w:space="0" w:color="D3D3D3"/>
              <w:right w:val="single" w:sz="4" w:space="0" w:color="000000"/>
            </w:tcBorders>
          </w:tcPr>
          <w:p>
            <w:pPr>
              <w:pStyle w:val="TableParagraph"/>
              <w:tabs>
                <w:tab w:pos="4219"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永续债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23" w:space="0" w:color="D3D3D3"/>
              <w:left w:val="single" w:sz="4" w:space="0" w:color="000000"/>
              <w:bottom w:val="single" w:sz="10" w:space="0" w:color="D3D3D3"/>
              <w:right w:val="single" w:sz="4" w:space="0" w:color="000000"/>
            </w:tcBorders>
          </w:tcPr>
          <w:p>
            <w:pPr>
              <w:pStyle w:val="TableParagraph"/>
              <w:tabs>
                <w:tab w:pos="4219"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资本公积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六、26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1,104,618,007.62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1,104,618,007.62</w:t>
            </w:r>
          </w:p>
        </w:tc>
      </w:tr>
    </w:tbl>
    <w:p>
      <w:pPr>
        <w:spacing w:after="0" w:line="229" w:lineRule="exact"/>
        <w:jc w:val="right"/>
        <w:rPr>
          <w:rFonts w:ascii="宋体" w:hAnsi="宋体" w:cs="宋体" w:eastAsia="宋体" w:hint="default"/>
          <w:sz w:val="18"/>
          <w:szCs w:val="18"/>
        </w:rPr>
        <w:sectPr>
          <w:pgSz w:w="11910" w:h="16840"/>
          <w:pgMar w:header="884" w:footer="1000" w:top="1140" w:bottom="1200" w:left="1220" w:right="1100"/>
        </w:sectPr>
      </w:pPr>
    </w:p>
    <w:p>
      <w:pPr>
        <w:spacing w:line="240" w:lineRule="auto" w:before="4"/>
        <w:rPr>
          <w:rFonts w:ascii="Times New Roman" w:hAnsi="Times New Roman" w:cs="Times New Roman" w:eastAsia="Times New Roman"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253"/>
        <w:gridCol w:w="1277"/>
        <w:gridCol w:w="1982"/>
        <w:gridCol w:w="1843"/>
      </w:tblGrid>
      <w:tr>
        <w:trPr>
          <w:trHeight w:val="293" w:hRule="exact"/>
        </w:trPr>
        <w:tc>
          <w:tcPr>
            <w:tcW w:w="4253" w:type="dxa"/>
            <w:tcBorders>
              <w:top w:val="single" w:sz="14" w:space="0" w:color="D3D3D3"/>
              <w:left w:val="single" w:sz="4" w:space="0" w:color="000000"/>
              <w:bottom w:val="single" w:sz="10" w:space="0" w:color="D3D3D3"/>
              <w:right w:val="single" w:sz="4" w:space="0" w:color="000000"/>
            </w:tcBorders>
          </w:tcPr>
          <w:p>
            <w:pPr>
              <w:pStyle w:val="TableParagraph"/>
              <w:tabs>
                <w:tab w:pos="4219" w:val="left" w:leader="none"/>
              </w:tabs>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减：库存股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219"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其他综合收益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六、27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89,393,650.22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89,393,650.22</w:t>
            </w:r>
          </w:p>
        </w:tc>
      </w:tr>
      <w:tr>
        <w:trPr>
          <w:trHeight w:val="29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62" w:right="0"/>
              <w:jc w:val="left"/>
              <w:rPr>
                <w:rFonts w:ascii="宋体" w:hAnsi="宋体" w:cs="宋体" w:eastAsia="宋体" w:hint="default"/>
                <w:sz w:val="18"/>
                <w:szCs w:val="18"/>
              </w:rPr>
            </w:pPr>
            <w:r>
              <w:rPr>
                <w:rFonts w:ascii="宋体" w:hAnsi="宋体" w:cs="宋体" w:eastAsia="宋体" w:hint="default"/>
                <w:sz w:val="18"/>
                <w:szCs w:val="18"/>
              </w:rPr>
              <w:t>六、28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845,190,123.03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sz w:val="18"/>
              </w:rPr>
              <w:t>638,994,670.57</w:t>
            </w:r>
          </w:p>
        </w:tc>
      </w:tr>
      <w:tr>
        <w:trPr>
          <w:trHeight w:val="46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sz w:val="18"/>
              </w:rPr>
              <w:t>2,661,028,566.87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sz w:val="18"/>
              </w:rPr>
              <w:t>2,454,833,114.41</w:t>
            </w:r>
          </w:p>
        </w:tc>
      </w:tr>
      <w:tr>
        <w:trPr>
          <w:trHeight w:val="295"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2,661,028,566.87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b/>
                <w:w w:val="95"/>
                <w:sz w:val="18"/>
              </w:rPr>
              <w:t>2,454,833,114.41</w:t>
            </w:r>
            <w:r>
              <w:rPr>
                <w:rFonts w:ascii="宋体"/>
                <w:sz w:val="18"/>
              </w:rPr>
            </w:r>
          </w:p>
        </w:tc>
      </w:tr>
      <w:tr>
        <w:trPr>
          <w:trHeight w:val="394"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宋体" w:hAnsi="宋体" w:cs="宋体" w:eastAsia="宋体" w:hint="default"/>
                <w:sz w:val="18"/>
                <w:szCs w:val="18"/>
              </w:rPr>
            </w:pPr>
            <w:r>
              <w:rPr>
                <w:rFonts w:ascii="宋体"/>
                <w:sz w:val="18"/>
              </w:rPr>
              <w:t>3,223,186,028.74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b/>
                <w:w w:val="95"/>
                <w:sz w:val="18"/>
              </w:rPr>
              <w:t>2,989,901,779.61</w:t>
            </w:r>
            <w:r>
              <w:rPr>
                <w:rFonts w:ascii="宋体"/>
                <w:sz w:val="18"/>
              </w:rPr>
            </w:r>
          </w:p>
        </w:tc>
      </w:tr>
    </w:tbl>
    <w:p>
      <w:pPr>
        <w:spacing w:line="240" w:lineRule="auto" w:before="4"/>
        <w:rPr>
          <w:rFonts w:ascii="Times New Roman" w:hAnsi="Times New Roman" w:cs="Times New Roman" w:eastAsia="Times New Roman" w:hint="default"/>
          <w:sz w:val="9"/>
          <w:szCs w:val="9"/>
        </w:rPr>
      </w:pPr>
    </w:p>
    <w:p>
      <w:pPr>
        <w:pStyle w:val="BodyText"/>
        <w:tabs>
          <w:tab w:pos="3510" w:val="left" w:leader="none"/>
          <w:tab w:pos="7081" w:val="left" w:leader="none"/>
        </w:tabs>
        <w:spacing w:line="240" w:lineRule="auto" w:before="36"/>
        <w:ind w:left="673" w:right="0"/>
        <w:jc w:val="left"/>
      </w:pPr>
      <w:r>
        <w:rPr>
          <w:spacing w:val="-2"/>
        </w:rPr>
        <w:t>法定代表人：吴鹰</w:t>
        <w:tab/>
        <w:t>主管会计工作负责人：汪强</w:t>
        <w:tab/>
        <w:t>会计机构负责人：张雷</w:t>
      </w:r>
    </w:p>
    <w:p>
      <w:pPr>
        <w:spacing w:line="240" w:lineRule="auto" w:before="9"/>
        <w:rPr>
          <w:rFonts w:ascii="宋体" w:hAnsi="宋体" w:cs="宋体" w:eastAsia="宋体" w:hint="default"/>
          <w:sz w:val="26"/>
          <w:szCs w:val="26"/>
        </w:rPr>
      </w:pPr>
    </w:p>
    <w:p>
      <w:pPr>
        <w:spacing w:before="0"/>
        <w:ind w:left="253" w:right="713" w:firstLine="0"/>
        <w:jc w:val="left"/>
        <w:rPr>
          <w:rFonts w:ascii="宋体" w:hAnsi="宋体" w:cs="宋体" w:eastAsia="宋体" w:hint="default"/>
          <w:sz w:val="21"/>
          <w:szCs w:val="21"/>
        </w:rPr>
      </w:pPr>
      <w:r>
        <w:rPr>
          <w:rFonts w:ascii="宋体" w:hAnsi="宋体" w:cs="宋体" w:eastAsia="宋体" w:hint="default"/>
          <w:b/>
          <w:bCs/>
          <w:sz w:val="21"/>
          <w:szCs w:val="21"/>
        </w:rPr>
        <w:t>2、母公司资产负债表</w:t>
      </w:r>
      <w:r>
        <w:rPr>
          <w:rFonts w:ascii="宋体" w:hAnsi="宋体" w:cs="宋体" w:eastAsia="宋体" w:hint="default"/>
          <w:sz w:val="21"/>
          <w:szCs w:val="21"/>
        </w:rPr>
      </w:r>
    </w:p>
    <w:p>
      <w:pPr>
        <w:pStyle w:val="BodyText"/>
        <w:tabs>
          <w:tab w:pos="6661" w:val="left" w:leader="none"/>
        </w:tabs>
        <w:spacing w:line="240" w:lineRule="auto" w:before="37"/>
        <w:ind w:left="673" w:right="713"/>
        <w:jc w:val="left"/>
      </w:pPr>
      <w:r>
        <w:rPr>
          <w:spacing w:val="-2"/>
        </w:rPr>
        <w:t>编制单位：茂业通信网络股份有限公司</w:t>
        <w:tab/>
        <w:t>金额单位：人民币元</w:t>
      </w:r>
    </w:p>
    <w:p>
      <w:pPr>
        <w:spacing w:line="240" w:lineRule="auto" w:before="8"/>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394"/>
        <w:gridCol w:w="1277"/>
        <w:gridCol w:w="1982"/>
        <w:gridCol w:w="1702"/>
      </w:tblGrid>
      <w:tr>
        <w:trPr>
          <w:trHeight w:val="434" w:hRule="exact"/>
        </w:trPr>
        <w:tc>
          <w:tcPr>
            <w:tcW w:w="4394" w:type="dxa"/>
            <w:tcBorders>
              <w:top w:val="single" w:sz="31" w:space="0" w:color="D3D3D3"/>
              <w:left w:val="single" w:sz="4" w:space="0" w:color="000000"/>
              <w:bottom w:val="single" w:sz="26" w:space="0" w:color="D3D3D3"/>
              <w:right w:val="single" w:sz="4" w:space="0" w:color="000000"/>
            </w:tcBorders>
          </w:tcPr>
          <w:p>
            <w:pPr>
              <w:pStyle w:val="TableParagraph"/>
              <w:tabs>
                <w:tab w:pos="2013" w:val="left" w:leader="none"/>
                <w:tab w:pos="4363" w:val="left" w:leader="none"/>
              </w:tabs>
              <w:spacing w:line="240" w:lineRule="auto" w:before="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4" w:hRule="exact"/>
        </w:trPr>
        <w:tc>
          <w:tcPr>
            <w:tcW w:w="4394" w:type="dxa"/>
            <w:tcBorders>
              <w:top w:val="single" w:sz="26" w:space="0" w:color="D3D3D3"/>
              <w:left w:val="single" w:sz="4" w:space="0" w:color="000000"/>
              <w:bottom w:val="single" w:sz="11" w:space="0" w:color="D3D3D3"/>
              <w:right w:val="single" w:sz="4" w:space="0" w:color="000000"/>
            </w:tcBorders>
          </w:tcPr>
          <w:p>
            <w:pPr>
              <w:pStyle w:val="TableParagraph"/>
              <w:tabs>
                <w:tab w:pos="4363"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货币资金</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7"/>
              <w:jc w:val="right"/>
              <w:rPr>
                <w:rFonts w:ascii="宋体" w:hAnsi="宋体" w:cs="宋体" w:eastAsia="宋体" w:hint="default"/>
                <w:sz w:val="18"/>
                <w:szCs w:val="18"/>
              </w:rPr>
            </w:pPr>
            <w:r>
              <w:rPr>
                <w:rFonts w:ascii="宋体"/>
                <w:sz w:val="18"/>
              </w:rPr>
              <w:t>4,395,794.74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3,138,390.00</w:t>
            </w: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4363"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以公允价值计量且其变动计入当期损益的金融资产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衍生金融资产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应收票据</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23" w:space="0" w:color="D3D3D3"/>
              <w:right w:val="single" w:sz="4" w:space="0" w:color="000000"/>
            </w:tcBorders>
          </w:tcPr>
          <w:p>
            <w:pPr>
              <w:pStyle w:val="TableParagraph"/>
              <w:tabs>
                <w:tab w:pos="383" w:val="left" w:leader="none"/>
                <w:tab w:pos="4363" w:val="left" w:leader="none"/>
              </w:tabs>
              <w:spacing w:line="22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应收账款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3"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0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预付款项</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10,400.00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351,304.15</w:t>
            </w:r>
          </w:p>
        </w:tc>
      </w:tr>
      <w:tr>
        <w:trPr>
          <w:trHeight w:val="293" w:hRule="exact"/>
        </w:trPr>
        <w:tc>
          <w:tcPr>
            <w:tcW w:w="4394" w:type="dxa"/>
            <w:tcBorders>
              <w:top w:val="single" w:sz="24"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07"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应收利息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119,983.56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313,545.21</w:t>
            </w: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应收股利</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其他应收款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十六、1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20,381.13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18,441.48</w:t>
            </w: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存货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0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划分为持有待售的资产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94" w:type="dxa"/>
            <w:tcBorders>
              <w:top w:val="single" w:sz="10"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2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54,069,643.68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88,657,914.38</w:t>
            </w: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4363"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流动资产合计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6"/>
              <w:jc w:val="right"/>
              <w:rPr>
                <w:rFonts w:ascii="宋体" w:hAnsi="宋体" w:cs="宋体" w:eastAsia="宋体" w:hint="default"/>
                <w:sz w:val="18"/>
                <w:szCs w:val="18"/>
              </w:rPr>
            </w:pPr>
            <w:r>
              <w:rPr>
                <w:rFonts w:ascii="宋体"/>
                <w:b/>
                <w:w w:val="95"/>
                <w:sz w:val="18"/>
              </w:rPr>
              <w:t>58,616,203.11</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b/>
                <w:w w:val="95"/>
                <w:sz w:val="18"/>
              </w:rPr>
              <w:t>92,479,595.22</w:t>
            </w:r>
            <w:r>
              <w:rPr>
                <w:rFonts w:ascii="宋体"/>
                <w:sz w:val="18"/>
              </w:rPr>
            </w:r>
          </w:p>
        </w:tc>
      </w:tr>
      <w:tr>
        <w:trPr>
          <w:trHeight w:val="293" w:hRule="exact"/>
        </w:trPr>
        <w:tc>
          <w:tcPr>
            <w:tcW w:w="4394" w:type="dxa"/>
            <w:tcBorders>
              <w:top w:val="single" w:sz="24" w:space="0" w:color="D3D3D3"/>
              <w:left w:val="single" w:sz="4" w:space="0" w:color="000000"/>
              <w:bottom w:val="single" w:sz="24" w:space="0" w:color="D3D3D3"/>
              <w:right w:val="single" w:sz="4" w:space="0" w:color="000000"/>
            </w:tcBorders>
          </w:tcPr>
          <w:p>
            <w:pPr>
              <w:pStyle w:val="TableParagraph"/>
              <w:tabs>
                <w:tab w:pos="4363"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394" w:type="dxa"/>
            <w:tcBorders>
              <w:top w:val="single" w:sz="24"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可供出售金融资产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持有至到期投资</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长期应收款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长期股权投资</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十六、2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2,098,000,000.00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2,098,000,000.00</w:t>
            </w: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投资性房地产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695,556.12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951,460.25</w:t>
            </w:r>
          </w:p>
        </w:tc>
      </w:tr>
      <w:tr>
        <w:trPr>
          <w:trHeight w:val="293" w:hRule="exact"/>
        </w:trPr>
        <w:tc>
          <w:tcPr>
            <w:tcW w:w="4394" w:type="dxa"/>
            <w:tcBorders>
              <w:top w:val="single" w:sz="11"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在建工程</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工程物资</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94" w:type="dxa"/>
            <w:tcBorders>
              <w:top w:val="single" w:sz="10"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固定资产清理</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生产性生物资产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油气资产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无形资产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57,270.28</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23"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开发支出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3" w:space="0" w:color="D3D3D3"/>
              <w:left w:val="single" w:sz="4" w:space="0" w:color="000000"/>
              <w:bottom w:val="single" w:sz="23" w:space="0" w:color="D3D3D3"/>
              <w:right w:val="single" w:sz="4" w:space="0" w:color="000000"/>
            </w:tcBorders>
          </w:tcPr>
          <w:p>
            <w:pPr>
              <w:pStyle w:val="TableParagraph"/>
              <w:tabs>
                <w:tab w:pos="383" w:val="left" w:leader="none"/>
                <w:tab w:pos="4363" w:val="left" w:leader="none"/>
              </w:tabs>
              <w:spacing w:line="20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商誉</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268.18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242.65</w:t>
            </w:r>
          </w:p>
        </w:tc>
      </w:tr>
    </w:tbl>
    <w:p>
      <w:pPr>
        <w:spacing w:after="0" w:line="232" w:lineRule="exact"/>
        <w:jc w:val="right"/>
        <w:rPr>
          <w:rFonts w:ascii="宋体" w:hAnsi="宋体" w:cs="宋体" w:eastAsia="宋体" w:hint="default"/>
          <w:sz w:val="18"/>
          <w:szCs w:val="18"/>
        </w:rPr>
        <w:sectPr>
          <w:pgSz w:w="11910" w:h="16840"/>
          <w:pgMar w:header="884" w:footer="1000" w:top="1140" w:bottom="1200" w:left="1220" w:right="1100"/>
        </w:sectPr>
      </w:pPr>
    </w:p>
    <w:p>
      <w:pPr>
        <w:spacing w:line="240" w:lineRule="auto" w:before="13"/>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4394"/>
        <w:gridCol w:w="1277"/>
        <w:gridCol w:w="1982"/>
        <w:gridCol w:w="1702"/>
      </w:tblGrid>
      <w:tr>
        <w:trPr>
          <w:trHeight w:val="293" w:hRule="exact"/>
        </w:trPr>
        <w:tc>
          <w:tcPr>
            <w:tcW w:w="4394" w:type="dxa"/>
            <w:tcBorders>
              <w:top w:val="single" w:sz="14"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1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其他非流动资产</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10" w:space="0" w:color="D3D3D3"/>
              <w:right w:val="single" w:sz="4" w:space="0" w:color="000000"/>
            </w:tcBorders>
          </w:tcPr>
          <w:p>
            <w:pPr>
              <w:pStyle w:val="TableParagraph"/>
              <w:tabs>
                <w:tab w:pos="4363"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非流动资产合计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b/>
                <w:w w:val="95"/>
                <w:sz w:val="18"/>
              </w:rPr>
              <w:t>2,098,753,094.58</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b/>
                <w:w w:val="95"/>
                <w:sz w:val="18"/>
              </w:rPr>
              <w:t>2,098,951,702.90</w:t>
            </w:r>
            <w:r>
              <w:rPr>
                <w:rFonts w:ascii="宋体"/>
                <w:sz w:val="18"/>
              </w:rPr>
            </w:r>
          </w:p>
        </w:tc>
      </w:tr>
      <w:tr>
        <w:trPr>
          <w:trHeight w:val="295" w:hRule="exact"/>
        </w:trPr>
        <w:tc>
          <w:tcPr>
            <w:tcW w:w="4394" w:type="dxa"/>
            <w:tcBorders>
              <w:top w:val="single" w:sz="10" w:space="0" w:color="D3D3D3"/>
              <w:left w:val="single" w:sz="4" w:space="0" w:color="000000"/>
              <w:bottom w:val="single" w:sz="11" w:space="0" w:color="D3D3D3"/>
              <w:right w:val="single" w:sz="4" w:space="0" w:color="000000"/>
            </w:tcBorders>
          </w:tcPr>
          <w:p>
            <w:pPr>
              <w:pStyle w:val="TableParagraph"/>
              <w:tabs>
                <w:tab w:pos="4363"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资产总计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b/>
                <w:w w:val="95"/>
                <w:sz w:val="18"/>
              </w:rPr>
              <w:t>2,157,369,297.69</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b/>
                <w:w w:val="95"/>
                <w:sz w:val="18"/>
              </w:rPr>
              <w:t>2,191,431,298.12</w:t>
            </w:r>
            <w:r>
              <w:rPr>
                <w:rFonts w:ascii="宋体"/>
                <w:sz w:val="18"/>
              </w:rPr>
            </w: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4363"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394" w:type="dxa"/>
            <w:tcBorders>
              <w:top w:val="single" w:sz="24"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短期借款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0" w:space="0" w:color="D3D3D3"/>
              <w:right w:val="single" w:sz="4" w:space="0" w:color="000000"/>
            </w:tcBorders>
          </w:tcPr>
          <w:p>
            <w:pPr>
              <w:pStyle w:val="TableParagraph"/>
              <w:tabs>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宋体" w:hAnsi="宋体" w:cs="宋体" w:eastAsia="宋体" w:hint="default"/>
                <w:sz w:val="18"/>
                <w:szCs w:val="18"/>
                <w:shd w:fill="D3D3D3" w:color="auto" w:val="clear"/>
              </w:rPr>
              <w:t>以公允价值计量且其变动计入当期损益的金融负债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衍生金融负债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375,000.00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30,596.80</w:t>
            </w: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应付职工薪酬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799,199.73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581,386.52</w:t>
            </w: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应交税费</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153,481.44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90,039.03</w:t>
            </w: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874,026.67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874,026.67</w:t>
            </w:r>
          </w:p>
        </w:tc>
      </w:tr>
      <w:tr>
        <w:trPr>
          <w:trHeight w:val="295" w:hRule="exact"/>
        </w:trPr>
        <w:tc>
          <w:tcPr>
            <w:tcW w:w="4394" w:type="dxa"/>
            <w:tcBorders>
              <w:top w:val="single" w:sz="10"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其他应付款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1,541,909.95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1,269,068.19</w:t>
            </w: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划分为持有待售的负债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23" w:space="0" w:color="D3D3D3"/>
              <w:right w:val="single" w:sz="4" w:space="0" w:color="000000"/>
            </w:tcBorders>
          </w:tcPr>
          <w:p>
            <w:pPr>
              <w:pStyle w:val="TableParagraph"/>
              <w:tabs>
                <w:tab w:pos="4363"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流动负债合计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b/>
                <w:sz w:val="18"/>
              </w:rPr>
              <w:t>3,743,617.79</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b/>
                <w:sz w:val="18"/>
              </w:rPr>
              <w:t>2,845,117.21</w:t>
            </w:r>
            <w:r>
              <w:rPr>
                <w:rFonts w:ascii="宋体"/>
                <w:sz w:val="18"/>
              </w:rPr>
            </w:r>
          </w:p>
        </w:tc>
      </w:tr>
      <w:tr>
        <w:trPr>
          <w:trHeight w:val="293" w:hRule="exact"/>
        </w:trPr>
        <w:tc>
          <w:tcPr>
            <w:tcW w:w="4394" w:type="dxa"/>
            <w:tcBorders>
              <w:top w:val="single" w:sz="23" w:space="0" w:color="D3D3D3"/>
              <w:left w:val="single" w:sz="4" w:space="0" w:color="000000"/>
              <w:bottom w:val="single" w:sz="23" w:space="0" w:color="D3D3D3"/>
              <w:right w:val="single" w:sz="4" w:space="0" w:color="000000"/>
            </w:tcBorders>
          </w:tcPr>
          <w:p>
            <w:pPr>
              <w:pStyle w:val="TableParagraph"/>
              <w:tabs>
                <w:tab w:pos="4363"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394" w:type="dxa"/>
            <w:tcBorders>
              <w:top w:val="single" w:sz="23"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0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长期借款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应付债券</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长期应付款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0"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长期应付职工薪酬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94" w:type="dxa"/>
            <w:tcBorders>
              <w:top w:val="single" w:sz="10"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2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专项应付款</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预计负债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24"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4" w:space="0" w:color="D3D3D3"/>
              <w:left w:val="single" w:sz="4" w:space="0" w:color="000000"/>
              <w:bottom w:val="single" w:sz="23" w:space="0" w:color="D3D3D3"/>
              <w:right w:val="single" w:sz="4" w:space="0" w:color="000000"/>
            </w:tcBorders>
          </w:tcPr>
          <w:p>
            <w:pPr>
              <w:pStyle w:val="TableParagraph"/>
              <w:tabs>
                <w:tab w:pos="383" w:val="left" w:leader="none"/>
                <w:tab w:pos="4363" w:val="left" w:leader="none"/>
              </w:tabs>
              <w:spacing w:line="204"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其他非流动负债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3" w:space="0" w:color="D3D3D3"/>
              <w:left w:val="single" w:sz="4" w:space="0" w:color="000000"/>
              <w:bottom w:val="single" w:sz="23" w:space="0" w:color="D3D3D3"/>
              <w:right w:val="single" w:sz="4" w:space="0" w:color="000000"/>
            </w:tcBorders>
          </w:tcPr>
          <w:p>
            <w:pPr>
              <w:pStyle w:val="TableParagraph"/>
              <w:tabs>
                <w:tab w:pos="4363"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非流动负债合计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23" w:space="0" w:color="D3D3D3"/>
              <w:left w:val="single" w:sz="4" w:space="0" w:color="000000"/>
              <w:bottom w:val="single" w:sz="11" w:space="0" w:color="D3D3D3"/>
              <w:right w:val="single" w:sz="4" w:space="0" w:color="000000"/>
            </w:tcBorders>
          </w:tcPr>
          <w:p>
            <w:pPr>
              <w:pStyle w:val="TableParagraph"/>
              <w:tabs>
                <w:tab w:pos="4363" w:val="left" w:leader="none"/>
              </w:tabs>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负债合计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b/>
                <w:sz w:val="18"/>
              </w:rPr>
              <w:t>3,743,617.79</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b/>
                <w:sz w:val="18"/>
              </w:rPr>
              <w:t>2,845,117.21</w:t>
            </w:r>
            <w:r>
              <w:rPr>
                <w:rFonts w:ascii="宋体"/>
                <w:sz w:val="18"/>
              </w:rPr>
            </w: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4363"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股本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621,826,786.00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621,826,786.00</w:t>
            </w: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其他权益工具</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94" w:type="dxa"/>
            <w:tcBorders>
              <w:top w:val="single" w:sz="10"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资本公积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7"/>
              <w:jc w:val="right"/>
              <w:rPr>
                <w:rFonts w:ascii="宋体" w:hAnsi="宋体" w:cs="宋体" w:eastAsia="宋体" w:hint="default"/>
                <w:sz w:val="18"/>
                <w:szCs w:val="18"/>
              </w:rPr>
            </w:pPr>
            <w:r>
              <w:rPr>
                <w:rFonts w:ascii="宋体"/>
                <w:sz w:val="18"/>
              </w:rPr>
              <w:t>1,142,736,251.72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9"/>
              <w:jc w:val="right"/>
              <w:rPr>
                <w:rFonts w:ascii="宋体" w:hAnsi="宋体" w:cs="宋体" w:eastAsia="宋体" w:hint="default"/>
                <w:sz w:val="18"/>
                <w:szCs w:val="18"/>
              </w:rPr>
            </w:pPr>
            <w:r>
              <w:rPr>
                <w:rFonts w:ascii="宋体"/>
                <w:sz w:val="18"/>
              </w:rPr>
              <w:t>1,142,736,251.72</w:t>
            </w: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减：库存股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其他综合收益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1"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专项储备</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94" w:type="dxa"/>
            <w:tcBorders>
              <w:top w:val="single" w:sz="11"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盈余公积</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41,041,703.70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41,041,703.70</w:t>
            </w:r>
          </w:p>
        </w:tc>
      </w:tr>
      <w:tr>
        <w:trPr>
          <w:trHeight w:val="293" w:hRule="exact"/>
        </w:trPr>
        <w:tc>
          <w:tcPr>
            <w:tcW w:w="4394" w:type="dxa"/>
            <w:tcBorders>
              <w:top w:val="single" w:sz="10" w:space="0" w:color="D3D3D3"/>
              <w:left w:val="single" w:sz="4" w:space="0" w:color="000000"/>
              <w:bottom w:val="single" w:sz="10" w:space="0" w:color="D3D3D3"/>
              <w:right w:val="single" w:sz="4" w:space="0" w:color="000000"/>
            </w:tcBorders>
          </w:tcPr>
          <w:p>
            <w:pPr>
              <w:pStyle w:val="TableParagraph"/>
              <w:tabs>
                <w:tab w:pos="383" w:val="left" w:leader="none"/>
                <w:tab w:pos="4363" w:val="left" w:leader="none"/>
              </w:tabs>
              <w:spacing w:line="22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未分配利润</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348,020,938.48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382,981,439.49</w:t>
            </w:r>
          </w:p>
        </w:tc>
      </w:tr>
      <w:tr>
        <w:trPr>
          <w:trHeight w:val="293" w:hRule="exact"/>
        </w:trPr>
        <w:tc>
          <w:tcPr>
            <w:tcW w:w="4394" w:type="dxa"/>
            <w:tcBorders>
              <w:top w:val="single" w:sz="10" w:space="0" w:color="D3D3D3"/>
              <w:left w:val="single" w:sz="4" w:space="0" w:color="000000"/>
              <w:bottom w:val="single" w:sz="24" w:space="0" w:color="D3D3D3"/>
              <w:right w:val="single" w:sz="4" w:space="0" w:color="000000"/>
            </w:tcBorders>
          </w:tcPr>
          <w:p>
            <w:pPr>
              <w:pStyle w:val="TableParagraph"/>
              <w:tabs>
                <w:tab w:pos="4363"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b/>
                <w:w w:val="95"/>
                <w:sz w:val="18"/>
              </w:rPr>
              <w:t>2,153,625,679.90</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b/>
                <w:w w:val="95"/>
                <w:sz w:val="18"/>
              </w:rPr>
              <w:t>2,188,586,180.91</w:t>
            </w:r>
            <w:r>
              <w:rPr>
                <w:rFonts w:ascii="宋体"/>
                <w:sz w:val="18"/>
              </w:rPr>
            </w:r>
          </w:p>
        </w:tc>
      </w:tr>
      <w:tr>
        <w:trPr>
          <w:trHeight w:val="293" w:hRule="exact"/>
        </w:trPr>
        <w:tc>
          <w:tcPr>
            <w:tcW w:w="4394" w:type="dxa"/>
            <w:tcBorders>
              <w:top w:val="single" w:sz="24" w:space="0" w:color="D3D3D3"/>
              <w:left w:val="single" w:sz="4" w:space="0" w:color="000000"/>
              <w:bottom w:val="single" w:sz="13" w:space="0" w:color="D3D3D3"/>
              <w:right w:val="single" w:sz="4" w:space="0" w:color="000000"/>
            </w:tcBorders>
          </w:tcPr>
          <w:p>
            <w:pPr>
              <w:pStyle w:val="TableParagraph"/>
              <w:tabs>
                <w:tab w:pos="4363"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负债和所有者权益总计</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b/>
                <w:w w:val="95"/>
                <w:sz w:val="18"/>
              </w:rPr>
              <w:t>2,157,369,297.69</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b/>
                <w:w w:val="95"/>
                <w:sz w:val="18"/>
              </w:rPr>
              <w:t>2,191,431,298.12</w:t>
            </w:r>
            <w:r>
              <w:rPr>
                <w:rFonts w:ascii="宋体"/>
                <w:sz w:val="18"/>
              </w:rPr>
            </w:r>
          </w:p>
        </w:tc>
      </w:tr>
    </w:tbl>
    <w:p>
      <w:pPr>
        <w:spacing w:line="240" w:lineRule="auto" w:before="4"/>
        <w:rPr>
          <w:rFonts w:ascii="宋体" w:hAnsi="宋体" w:cs="宋体" w:eastAsia="宋体" w:hint="default"/>
          <w:sz w:val="7"/>
          <w:szCs w:val="7"/>
        </w:rPr>
      </w:pPr>
    </w:p>
    <w:p>
      <w:pPr>
        <w:pStyle w:val="BodyText"/>
        <w:tabs>
          <w:tab w:pos="3510" w:val="left" w:leader="none"/>
          <w:tab w:pos="7081" w:val="left" w:leader="none"/>
        </w:tabs>
        <w:spacing w:line="240" w:lineRule="auto" w:before="36"/>
        <w:ind w:left="673" w:right="0"/>
        <w:jc w:val="left"/>
      </w:pPr>
      <w:r>
        <w:rPr>
          <w:spacing w:val="-2"/>
        </w:rPr>
        <w:t>法定代表人：吴鹰</w:t>
        <w:tab/>
        <w:t>主管会计工作负责人：汪强</w:t>
        <w:tab/>
        <w:t>会计机构负责人：张雷</w:t>
      </w:r>
    </w:p>
    <w:p>
      <w:pPr>
        <w:spacing w:after="0" w:line="240" w:lineRule="auto"/>
        <w:jc w:val="left"/>
        <w:sectPr>
          <w:pgSz w:w="11910" w:h="16840"/>
          <w:pgMar w:header="884" w:footer="1000" w:top="1140" w:bottom="1200" w:left="1220" w:right="1100"/>
        </w:sectPr>
      </w:pPr>
    </w:p>
    <w:p>
      <w:pPr>
        <w:spacing w:before="131"/>
        <w:ind w:left="253" w:right="713" w:firstLine="0"/>
        <w:jc w:val="left"/>
        <w:rPr>
          <w:rFonts w:ascii="宋体" w:hAnsi="宋体" w:cs="宋体" w:eastAsia="宋体" w:hint="default"/>
          <w:sz w:val="21"/>
          <w:szCs w:val="21"/>
        </w:rPr>
      </w:pPr>
      <w:r>
        <w:rPr>
          <w:rFonts w:ascii="宋体" w:hAnsi="宋体" w:cs="宋体" w:eastAsia="宋体" w:hint="default"/>
          <w:b/>
          <w:bCs/>
          <w:sz w:val="21"/>
          <w:szCs w:val="21"/>
        </w:rPr>
        <w:t>3、合并利润表</w:t>
      </w:r>
      <w:r>
        <w:rPr>
          <w:rFonts w:ascii="宋体" w:hAnsi="宋体" w:cs="宋体" w:eastAsia="宋体" w:hint="default"/>
          <w:sz w:val="21"/>
          <w:szCs w:val="21"/>
        </w:rPr>
      </w:r>
    </w:p>
    <w:p>
      <w:pPr>
        <w:pStyle w:val="BodyText"/>
        <w:tabs>
          <w:tab w:pos="6764" w:val="left" w:leader="none"/>
        </w:tabs>
        <w:spacing w:line="240" w:lineRule="auto" w:before="37"/>
        <w:ind w:left="673" w:right="713"/>
        <w:jc w:val="left"/>
      </w:pPr>
      <w:r>
        <w:rPr>
          <w:spacing w:val="-2"/>
        </w:rPr>
        <w:t>编制单位：茂业通信网络股份有限公司</w:t>
        <w:tab/>
        <w:t>金额单位：人民币元</w:t>
      </w:r>
    </w:p>
    <w:p>
      <w:pPr>
        <w:spacing w:line="240" w:lineRule="auto" w:before="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4111"/>
        <w:gridCol w:w="1274"/>
        <w:gridCol w:w="1987"/>
        <w:gridCol w:w="1982"/>
      </w:tblGrid>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633"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18"/>
                <w:szCs w:val="18"/>
              </w:rPr>
            </w:pPr>
            <w:r>
              <w:rPr>
                <w:rFonts w:ascii="宋体"/>
                <w:b/>
                <w:w w:val="95"/>
                <w:sz w:val="18"/>
              </w:rPr>
              <w:t>2,107,385,087.61</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18"/>
                <w:szCs w:val="18"/>
              </w:rPr>
            </w:pPr>
            <w:r>
              <w:rPr>
                <w:rFonts w:ascii="宋体"/>
                <w:b/>
                <w:w w:val="95"/>
                <w:sz w:val="18"/>
              </w:rPr>
              <w:t>1,814,658,054.48</w:t>
            </w:r>
            <w:r>
              <w:rPr>
                <w:rFonts w:ascii="宋体"/>
                <w:sz w:val="18"/>
              </w:rPr>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六、29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2,107,385,087.61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1,814,658,054.48</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b/>
                <w:w w:val="95"/>
                <w:sz w:val="18"/>
              </w:rPr>
              <w:t>1,850,597,227.66</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b/>
                <w:w w:val="95"/>
                <w:sz w:val="18"/>
              </w:rPr>
              <w:t>1,563,876,556.18</w:t>
            </w:r>
            <w:r>
              <w:rPr>
                <w:rFonts w:ascii="宋体"/>
                <w:sz w:val="18"/>
              </w:rPr>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2" w:right="0"/>
              <w:jc w:val="left"/>
              <w:rPr>
                <w:rFonts w:ascii="宋体" w:hAnsi="宋体" w:cs="宋体" w:eastAsia="宋体" w:hint="default"/>
                <w:sz w:val="18"/>
                <w:szCs w:val="18"/>
              </w:rPr>
            </w:pPr>
            <w:r>
              <w:rPr>
                <w:rFonts w:ascii="宋体" w:hAnsi="宋体" w:cs="宋体" w:eastAsia="宋体" w:hint="default"/>
                <w:sz w:val="18"/>
                <w:szCs w:val="18"/>
              </w:rPr>
              <w:t>六、29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宋体" w:hAnsi="宋体" w:cs="宋体" w:eastAsia="宋体" w:hint="default"/>
                <w:sz w:val="18"/>
                <w:szCs w:val="18"/>
              </w:rPr>
            </w:pPr>
            <w:r>
              <w:rPr>
                <w:rFonts w:ascii="宋体"/>
                <w:sz w:val="18"/>
              </w:rPr>
              <w:t>1,609,028,473.21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1,364,855,115.36</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8,473,843.57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9,073,896.33</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31,624,837.68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29,877,024.98</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189,424,930.08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177,736,268.03</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-4,279,840.36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-1,157,351.54</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16,324,983.48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-16,508,396.98</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2,706,174.30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1,184,079.56</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资产处置收益（损失以“－”号填列）</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154,215.34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-245,657.82</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宋体" w:hAnsi="宋体" w:cs="宋体" w:eastAsia="宋体" w:hint="default"/>
                <w:sz w:val="18"/>
                <w:szCs w:val="18"/>
              </w:rPr>
            </w:pPr>
            <w:r>
              <w:rPr>
                <w:rFonts w:ascii="宋体"/>
                <w:b/>
                <w:w w:val="95"/>
                <w:sz w:val="18"/>
              </w:rPr>
              <w:t>259,648,249.59</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b/>
                <w:w w:val="95"/>
                <w:sz w:val="18"/>
              </w:rPr>
              <w:t>251,719,920.04</w:t>
            </w:r>
            <w:r>
              <w:rPr>
                <w:rFonts w:ascii="宋体"/>
                <w:sz w:val="18"/>
              </w:rPr>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7,808,972.55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10,097,911.82</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5,678,881.85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3,892,643.94</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b/>
                <w:w w:val="95"/>
                <w:sz w:val="18"/>
              </w:rPr>
              <w:t>261,778,340.29</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b/>
                <w:w w:val="95"/>
                <w:sz w:val="18"/>
              </w:rPr>
              <w:t>257,925,187.92</w:t>
            </w:r>
            <w:r>
              <w:rPr>
                <w:rFonts w:ascii="宋体"/>
                <w:sz w:val="18"/>
              </w:rPr>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六、38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33,197,123.54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37,971,050.04</w:t>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b/>
                <w:w w:val="95"/>
                <w:sz w:val="18"/>
              </w:rPr>
              <w:t>228,581,216.75</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b/>
                <w:w w:val="95"/>
                <w:sz w:val="18"/>
              </w:rPr>
              <w:t>219,954,137.88</w:t>
            </w:r>
            <w:r>
              <w:rPr>
                <w:rFonts w:ascii="宋体"/>
                <w:sz w:val="18"/>
              </w:rPr>
            </w: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其中：归属于母公司所有者的净利润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228,581,216.75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219,954,137.88</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其中：持续经营净利润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228,581,216.75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219,954,137.88</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终止经营净利润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b/>
                <w:bCs/>
                <w:sz w:val="18"/>
                <w:szCs w:val="18"/>
              </w:rPr>
              <w:t>六、其他综合收益的税后净额</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97"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1.重新计量设定受益计划净负债或净资产的变动</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2.权益法下在被投资单位不能重分类进损益的其他</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综合收益中享有的份额</w:t>
            </w:r>
          </w:p>
        </w:tc>
        <w:tc>
          <w:tcPr>
            <w:tcW w:w="1274" w:type="dxa"/>
            <w:tcBorders>
              <w:top w:val="single" w:sz="4" w:space="0" w:color="000000"/>
              <w:left w:val="single" w:sz="10" w:space="0" w:color="D3D3D3"/>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1.权益法下在被投资单位以后将重分类进损益的其</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他综合收益中享有的份额</w:t>
            </w:r>
          </w:p>
        </w:tc>
        <w:tc>
          <w:tcPr>
            <w:tcW w:w="1274" w:type="dxa"/>
            <w:tcBorders>
              <w:top w:val="single" w:sz="4" w:space="0" w:color="000000"/>
              <w:left w:val="single" w:sz="10" w:space="0" w:color="D3D3D3"/>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5" w:space="0" w:color="FFFFFF"/>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1274" w:type="dxa"/>
            <w:tcBorders>
              <w:top w:val="single" w:sz="4" w:space="0" w:color="000000"/>
              <w:left w:val="single" w:sz="4" w:space="0" w:color="000000"/>
              <w:bottom w:val="single" w:sz="5" w:space="0" w:color="FFFFFF"/>
              <w:right w:val="single" w:sz="4" w:space="0" w:color="000000"/>
            </w:tcBorders>
          </w:tcPr>
          <w:p>
            <w:pPr/>
          </w:p>
        </w:tc>
        <w:tc>
          <w:tcPr>
            <w:tcW w:w="1987" w:type="dxa"/>
            <w:tcBorders>
              <w:top w:val="single" w:sz="4" w:space="0" w:color="000000"/>
              <w:left w:val="single" w:sz="4" w:space="0" w:color="000000"/>
              <w:bottom w:val="single" w:sz="5" w:space="0" w:color="FFFFFF"/>
              <w:right w:val="single" w:sz="4" w:space="0" w:color="000000"/>
            </w:tcBorders>
          </w:tcPr>
          <w:p>
            <w:pPr/>
          </w:p>
        </w:tc>
        <w:tc>
          <w:tcPr>
            <w:tcW w:w="1982" w:type="dxa"/>
            <w:tcBorders>
              <w:top w:val="single" w:sz="4" w:space="0" w:color="000000"/>
              <w:left w:val="single" w:sz="4" w:space="0" w:color="000000"/>
              <w:bottom w:val="single" w:sz="5" w:space="0" w:color="FFFFFF"/>
              <w:right w:val="single" w:sz="4" w:space="0" w:color="000000"/>
            </w:tcBorders>
          </w:tcPr>
          <w:p>
            <w:pPr/>
          </w:p>
        </w:tc>
      </w:tr>
      <w:tr>
        <w:trPr>
          <w:trHeight w:val="323" w:hRule="exact"/>
        </w:trPr>
        <w:tc>
          <w:tcPr>
            <w:tcW w:w="4111"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3.持有至到期投资重分类为可供出售金融资产损益</w:t>
            </w:r>
            <w:r>
              <w:rPr>
                <w:rFonts w:ascii="宋体" w:hAnsi="宋体" w:cs="宋体" w:eastAsia="宋体" w:hint="default"/>
                <w:sz w:val="18"/>
                <w:szCs w:val="18"/>
              </w:rPr>
            </w:r>
          </w:p>
        </w:tc>
        <w:tc>
          <w:tcPr>
            <w:tcW w:w="1274" w:type="dxa"/>
            <w:tcBorders>
              <w:top w:val="single" w:sz="5" w:space="0" w:color="FFFFFF"/>
              <w:left w:val="single" w:sz="4" w:space="0" w:color="000000"/>
              <w:bottom w:val="single" w:sz="4" w:space="0" w:color="000000"/>
              <w:right w:val="single" w:sz="4" w:space="0" w:color="000000"/>
            </w:tcBorders>
          </w:tcPr>
          <w:p>
            <w:pPr/>
          </w:p>
        </w:tc>
        <w:tc>
          <w:tcPr>
            <w:tcW w:w="1987" w:type="dxa"/>
            <w:tcBorders>
              <w:top w:val="single" w:sz="5" w:space="0" w:color="FFFFFF"/>
              <w:left w:val="single" w:sz="4" w:space="0" w:color="000000"/>
              <w:bottom w:val="single" w:sz="4" w:space="0" w:color="000000"/>
              <w:right w:val="single" w:sz="4" w:space="0" w:color="000000"/>
            </w:tcBorders>
          </w:tcPr>
          <w:p>
            <w:pPr/>
          </w:p>
        </w:tc>
        <w:tc>
          <w:tcPr>
            <w:tcW w:w="1982" w:type="dxa"/>
            <w:tcBorders>
              <w:top w:val="single" w:sz="5" w:space="0" w:color="FFFFFF"/>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0" w:top="1140" w:bottom="1200" w:left="1220" w:right="1100"/>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111"/>
        <w:gridCol w:w="1274"/>
        <w:gridCol w:w="1987"/>
        <w:gridCol w:w="1982"/>
      </w:tblGrid>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b/>
                <w:w w:val="95"/>
                <w:sz w:val="18"/>
              </w:rPr>
              <w:t>228,581,216.75</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b/>
                <w:w w:val="95"/>
                <w:sz w:val="18"/>
              </w:rPr>
              <w:t>219,954,137.88</w:t>
            </w:r>
            <w:r>
              <w:rPr>
                <w:rFonts w:ascii="宋体"/>
                <w:sz w:val="18"/>
              </w:rPr>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228,581,216.75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219,954,137.88</w:t>
            </w:r>
          </w:p>
        </w:tc>
      </w:tr>
      <w:tr>
        <w:trPr>
          <w:trHeight w:val="326"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b/>
                <w:bCs/>
                <w:sz w:val="18"/>
                <w:szCs w:val="18"/>
              </w:rPr>
              <w:t>八、每股收益：</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6"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宋体" w:hAnsi="宋体" w:cs="宋体" w:eastAsia="宋体" w:hint="default"/>
                <w:sz w:val="18"/>
                <w:szCs w:val="18"/>
              </w:rPr>
            </w:pPr>
            <w:r>
              <w:rPr>
                <w:rFonts w:ascii="宋体"/>
                <w:sz w:val="18"/>
              </w:rPr>
              <w:t>0.3676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宋体" w:hAnsi="宋体" w:cs="宋体" w:eastAsia="宋体" w:hint="default"/>
                <w:sz w:val="18"/>
                <w:szCs w:val="18"/>
              </w:rPr>
            </w:pPr>
            <w:r>
              <w:rPr>
                <w:rFonts w:ascii="宋体"/>
                <w:sz w:val="18"/>
              </w:rPr>
              <w:t>0.3537</w:t>
            </w:r>
          </w:p>
        </w:tc>
      </w:tr>
      <w:tr>
        <w:trPr>
          <w:trHeight w:val="32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0.3676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0.3537</w:t>
            </w:r>
          </w:p>
        </w:tc>
      </w:tr>
    </w:tbl>
    <w:p>
      <w:pPr>
        <w:spacing w:line="240" w:lineRule="auto" w:before="3"/>
        <w:rPr>
          <w:rFonts w:ascii="宋体" w:hAnsi="宋体" w:cs="宋体" w:eastAsia="宋体" w:hint="default"/>
          <w:sz w:val="8"/>
          <w:szCs w:val="8"/>
        </w:rPr>
      </w:pPr>
    </w:p>
    <w:p>
      <w:pPr>
        <w:pStyle w:val="BodyText"/>
        <w:tabs>
          <w:tab w:pos="3510" w:val="left" w:leader="none"/>
          <w:tab w:pos="7081" w:val="left" w:leader="none"/>
        </w:tabs>
        <w:spacing w:line="240" w:lineRule="auto" w:before="36"/>
        <w:ind w:left="673" w:right="0"/>
        <w:jc w:val="left"/>
      </w:pPr>
      <w:r>
        <w:rPr>
          <w:spacing w:val="-2"/>
        </w:rPr>
        <w:t>法定代表人：吴鹰</w:t>
        <w:tab/>
        <w:t>主管会计工作负责人：汪强</w:t>
        <w:tab/>
        <w:t>会计机构负责人：张雷</w:t>
      </w:r>
    </w:p>
    <w:p>
      <w:pPr>
        <w:spacing w:line="240" w:lineRule="auto" w:before="9"/>
        <w:rPr>
          <w:rFonts w:ascii="宋体" w:hAnsi="宋体" w:cs="宋体" w:eastAsia="宋体" w:hint="default"/>
          <w:sz w:val="26"/>
          <w:szCs w:val="26"/>
        </w:rPr>
      </w:pPr>
    </w:p>
    <w:p>
      <w:pPr>
        <w:spacing w:before="0"/>
        <w:ind w:left="253" w:right="713" w:firstLine="0"/>
        <w:jc w:val="left"/>
        <w:rPr>
          <w:rFonts w:ascii="宋体" w:hAnsi="宋体" w:cs="宋体" w:eastAsia="宋体" w:hint="default"/>
          <w:sz w:val="21"/>
          <w:szCs w:val="21"/>
        </w:rPr>
      </w:pPr>
      <w:r>
        <w:rPr>
          <w:rFonts w:ascii="宋体" w:hAnsi="宋体" w:cs="宋体" w:eastAsia="宋体" w:hint="default"/>
          <w:b/>
          <w:bCs/>
          <w:sz w:val="21"/>
          <w:szCs w:val="21"/>
        </w:rPr>
        <w:t>4、母公司利润表</w:t>
      </w:r>
      <w:r>
        <w:rPr>
          <w:rFonts w:ascii="宋体" w:hAnsi="宋体" w:cs="宋体" w:eastAsia="宋体" w:hint="default"/>
          <w:sz w:val="21"/>
          <w:szCs w:val="21"/>
        </w:rPr>
      </w:r>
    </w:p>
    <w:p>
      <w:pPr>
        <w:pStyle w:val="BodyText"/>
        <w:tabs>
          <w:tab w:pos="6764" w:val="left" w:leader="none"/>
        </w:tabs>
        <w:spacing w:line="240" w:lineRule="auto" w:before="37"/>
        <w:ind w:left="673" w:right="713"/>
        <w:jc w:val="left"/>
      </w:pPr>
      <w:r>
        <w:rPr>
          <w:spacing w:val="-2"/>
        </w:rPr>
        <w:t>编制单位：茂业通信网络股份有限公司</w:t>
        <w:tab/>
        <w:t>金额单位：人民币元</w:t>
      </w:r>
    </w:p>
    <w:p>
      <w:pPr>
        <w:spacing w:line="240" w:lineRule="auto" w:before="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4253"/>
        <w:gridCol w:w="1277"/>
        <w:gridCol w:w="1843"/>
        <w:gridCol w:w="1982"/>
      </w:tblGrid>
      <w:tr>
        <w:trPr>
          <w:trHeight w:val="396"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附件</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5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253" w:type="dxa"/>
            <w:tcBorders>
              <w:top w:val="single" w:sz="39" w:space="0" w:color="D3D3D3"/>
              <w:left w:val="single" w:sz="4" w:space="0" w:color="000000"/>
              <w:bottom w:val="single" w:sz="6" w:space="0" w:color="D3D3D3"/>
              <w:right w:val="single" w:sz="4" w:space="0" w:color="000000"/>
            </w:tcBorders>
          </w:tcPr>
          <w:p>
            <w:pPr>
              <w:pStyle w:val="TableParagraph"/>
              <w:tabs>
                <w:tab w:pos="4195" w:val="left" w:leader="none"/>
              </w:tabs>
              <w:spacing w:line="21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一、营业收入</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15"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减：营业成本</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3" w:type="dxa"/>
            <w:tcBorders>
              <w:top w:val="single" w:sz="15" w:space="0" w:color="D3D3D3"/>
              <w:left w:val="single" w:sz="4" w:space="0" w:color="000000"/>
              <w:bottom w:val="single" w:sz="5" w:space="0" w:color="D3D3D3"/>
              <w:right w:val="single" w:sz="4" w:space="0" w:color="000000"/>
            </w:tcBorders>
          </w:tcPr>
          <w:p>
            <w:pPr>
              <w:pStyle w:val="TableParagraph"/>
              <w:tabs>
                <w:tab w:pos="4195"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税金及附加</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25.71</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5" w:space="0" w:color="D3D3D3"/>
              <w:left w:val="single" w:sz="4" w:space="0" w:color="000000"/>
              <w:bottom w:val="single" w:sz="15" w:space="0" w:color="D3D3D3"/>
              <w:right w:val="single" w:sz="4" w:space="0" w:color="000000"/>
            </w:tcBorders>
          </w:tcPr>
          <w:p>
            <w:pPr>
              <w:pStyle w:val="TableParagraph"/>
              <w:tabs>
                <w:tab w:pos="4195"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销售费用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5"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管理费用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12,713,091.12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9,508,985.99</w:t>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财务费用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-209,902.49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-629,488.69</w:t>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资产减值损失</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102.09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-35,153,330.60</w:t>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加：公允价值变动收益（损失以“－”号填列）</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3" w:type="dxa"/>
            <w:tcBorders>
              <w:top w:val="single" w:sz="6" w:space="0" w:color="D3D3D3"/>
              <w:left w:val="single" w:sz="4" w:space="0" w:color="000000"/>
              <w:bottom w:val="single" w:sz="14"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投资收益（损失以“－”号填列）</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十六、3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1,886,923.57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20,458,531.51</w:t>
            </w:r>
          </w:p>
        </w:tc>
      </w:tr>
      <w:tr>
        <w:trPr>
          <w:trHeight w:val="350" w:hRule="exact"/>
        </w:trPr>
        <w:tc>
          <w:tcPr>
            <w:tcW w:w="4253" w:type="dxa"/>
            <w:tcBorders>
              <w:top w:val="single" w:sz="14" w:space="0" w:color="D3D3D3"/>
              <w:left w:val="single" w:sz="4" w:space="0" w:color="000000"/>
              <w:bottom w:val="single" w:sz="15" w:space="0" w:color="D3D3D3"/>
              <w:right w:val="single" w:sz="4" w:space="0" w:color="000000"/>
            </w:tcBorders>
          </w:tcPr>
          <w:p>
            <w:pPr>
              <w:pStyle w:val="TableParagraph"/>
              <w:tabs>
                <w:tab w:pos="4195" w:val="left" w:leader="none"/>
              </w:tabs>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其中：对联营企业和合营企业的投资收益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5"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资产处置收益（损失以“－”号填列）</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二、营业利润（亏损以“－”号填列）</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-10,616,392.86</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b/>
                <w:w w:val="95"/>
                <w:sz w:val="18"/>
              </w:rPr>
              <w:t>46,732,364.81</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加：营业外收入</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9,760.38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652,325.57</w:t>
            </w:r>
          </w:p>
        </w:tc>
      </w:tr>
      <w:tr>
        <w:trPr>
          <w:trHeight w:val="348" w:hRule="exact"/>
        </w:trPr>
        <w:tc>
          <w:tcPr>
            <w:tcW w:w="4253" w:type="dxa"/>
            <w:tcBorders>
              <w:top w:val="single" w:sz="6" w:space="0" w:color="D3D3D3"/>
              <w:left w:val="single" w:sz="4" w:space="0" w:color="000000"/>
              <w:bottom w:val="single" w:sz="14"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Times New Roman" w:hAnsi="Times New Roman" w:cs="Times New Roman" w:eastAsia="Times New Roman" w:hint="default"/>
                <w:spacing w:val="1"/>
                <w:sz w:val="18"/>
                <w:szCs w:val="18"/>
                <w:shd w:fill="D3D3D3" w:color="auto" w:val="clear"/>
              </w:rPr>
              <w:t> </w:t>
            </w:r>
            <w:r>
              <w:rPr>
                <w:rFonts w:ascii="宋体" w:hAnsi="宋体" w:cs="宋体" w:eastAsia="宋体" w:hint="default"/>
                <w:sz w:val="18"/>
                <w:szCs w:val="18"/>
                <w:shd w:fill="D3D3D3" w:color="auto" w:val="clear"/>
              </w:rPr>
              <w:t>减：营业外支出</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567,009.41</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4" w:space="0" w:color="D3D3D3"/>
              <w:left w:val="single" w:sz="4" w:space="0" w:color="000000"/>
              <w:bottom w:val="single" w:sz="15" w:space="0" w:color="D3D3D3"/>
              <w:right w:val="single" w:sz="4" w:space="0" w:color="000000"/>
            </w:tcBorders>
          </w:tcPr>
          <w:p>
            <w:pPr>
              <w:pStyle w:val="TableParagraph"/>
              <w:tabs>
                <w:tab w:pos="4195" w:val="left" w:leader="none"/>
              </w:tabs>
              <w:spacing w:line="240" w:lineRule="auto" w:before="9"/>
              <w:ind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三、利润总额（亏损总额以“－”号填列）</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-11,173,641.89</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b/>
                <w:w w:val="95"/>
                <w:sz w:val="18"/>
              </w:rPr>
              <w:t>47,384,690.36</w:t>
            </w:r>
            <w:r>
              <w:rPr>
                <w:rFonts w:ascii="宋体"/>
                <w:sz w:val="18"/>
              </w:rPr>
            </w:r>
          </w:p>
        </w:tc>
      </w:tr>
      <w:tr>
        <w:trPr>
          <w:trHeight w:val="350" w:hRule="exact"/>
        </w:trPr>
        <w:tc>
          <w:tcPr>
            <w:tcW w:w="4253" w:type="dxa"/>
            <w:tcBorders>
              <w:top w:val="single" w:sz="15"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Times New Roman" w:hAnsi="Times New Roman" w:cs="Times New Roman" w:eastAsia="Times New Roman" w:hint="default"/>
                <w:spacing w:val="1"/>
                <w:sz w:val="18"/>
                <w:szCs w:val="18"/>
                <w:shd w:fill="D3D3D3" w:color="auto" w:val="clear"/>
              </w:rPr>
              <w:t> </w:t>
            </w:r>
            <w:r>
              <w:rPr>
                <w:rFonts w:ascii="宋体" w:hAnsi="宋体" w:cs="宋体" w:eastAsia="宋体" w:hint="default"/>
                <w:sz w:val="18"/>
                <w:szCs w:val="18"/>
                <w:shd w:fill="D3D3D3" w:color="auto" w:val="clear"/>
              </w:rPr>
              <w:t>减：所得税费用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1,401,094.83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8,788,332.65</w:t>
            </w:r>
          </w:p>
        </w:tc>
      </w:tr>
      <w:tr>
        <w:trPr>
          <w:trHeight w:val="350" w:hRule="exact"/>
        </w:trPr>
        <w:tc>
          <w:tcPr>
            <w:tcW w:w="4253" w:type="dxa"/>
            <w:tcBorders>
              <w:top w:val="single" w:sz="6" w:space="0" w:color="D3D3D3"/>
              <w:left w:val="single" w:sz="4" w:space="0" w:color="000000"/>
              <w:bottom w:val="single" w:sz="15"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四、净利润（净亏损以"－"号填列）</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-12,574,736.72</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b/>
                <w:w w:val="95"/>
                <w:sz w:val="18"/>
              </w:rPr>
              <w:t>38,596,357.73</w:t>
            </w:r>
            <w:r>
              <w:rPr>
                <w:rFonts w:ascii="宋体"/>
                <w:sz w:val="18"/>
              </w:rPr>
            </w:r>
          </w:p>
        </w:tc>
      </w:tr>
      <w:tr>
        <w:trPr>
          <w:trHeight w:val="350" w:hRule="exact"/>
        </w:trPr>
        <w:tc>
          <w:tcPr>
            <w:tcW w:w="4253" w:type="dxa"/>
            <w:tcBorders>
              <w:top w:val="single" w:sz="15"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（一）持续经营净利润（净亏损以“-”号填列）</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-12,574,736.72</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b/>
                <w:w w:val="95"/>
                <w:sz w:val="18"/>
              </w:rPr>
              <w:t>38,596,357.73</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（二）终止经营净利润（净亏损以“-”号填列）</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3" w:type="dxa"/>
            <w:tcBorders>
              <w:top w:val="single" w:sz="6" w:space="0" w:color="D3D3D3"/>
              <w:left w:val="single" w:sz="4" w:space="0" w:color="000000"/>
              <w:bottom w:val="single" w:sz="5"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b/>
                <w:bCs/>
                <w:w w:val="99"/>
                <w:sz w:val="18"/>
                <w:szCs w:val="18"/>
              </w:rPr>
            </w:r>
            <w:r>
              <w:rPr>
                <w:rFonts w:ascii="宋体" w:hAnsi="宋体" w:cs="宋体" w:eastAsia="宋体" w:hint="default"/>
                <w:b/>
                <w:bCs/>
                <w:sz w:val="18"/>
                <w:szCs w:val="18"/>
                <w:shd w:fill="D3D3D3" w:color="auto" w:val="clear"/>
              </w:rPr>
              <w:t>五、其他综合收益的税后净额</w:t>
              <w:tab/>
            </w:r>
            <w:r>
              <w:rPr>
                <w:rFonts w:ascii="宋体" w:hAnsi="宋体" w:cs="宋体" w:eastAsia="宋体" w:hint="default"/>
                <w:b/>
                <w:bCs/>
                <w:sz w:val="18"/>
                <w:szCs w:val="18"/>
              </w:rPr>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5" w:space="0" w:color="D3D3D3"/>
              <w:left w:val="single" w:sz="4" w:space="0" w:color="000000"/>
              <w:bottom w:val="single" w:sz="6" w:space="0" w:color="D3D3D3"/>
              <w:right w:val="single" w:sz="4" w:space="0" w:color="000000"/>
            </w:tcBorders>
          </w:tcPr>
          <w:p>
            <w:pPr>
              <w:pStyle w:val="TableParagraph"/>
              <w:tabs>
                <w:tab w:pos="4195"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（一）以后不能重分类进损益的其他综合收益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10" w:space="0" w:color="D3D3D3"/>
              <w:right w:val="single" w:sz="4" w:space="0" w:color="000000"/>
            </w:tcBorders>
          </w:tcPr>
          <w:p>
            <w:pPr>
              <w:pStyle w:val="TableParagraph"/>
              <w:tabs>
                <w:tab w:pos="4195"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1.重新计量设定受益计划净负债或净资产的变动</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2.权益法下在被投资单位不能重分类进损益的其他综</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合收益中享有的份额</w:t>
            </w:r>
          </w:p>
        </w:tc>
        <w:tc>
          <w:tcPr>
            <w:tcW w:w="127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4195"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（二）以后将重分类进损益的其他综合收益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1.权益法下在被投资单位以后将重分类进损益的其他</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综合收益中享有的份额</w:t>
            </w:r>
          </w:p>
        </w:tc>
        <w:tc>
          <w:tcPr>
            <w:tcW w:w="1277" w:type="dxa"/>
            <w:tcBorders>
              <w:top w:val="single" w:sz="4" w:space="0" w:color="000000"/>
              <w:left w:val="single" w:sz="13" w:space="0" w:color="D3D3D3"/>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0" w:space="0" w:color="D3D3D3"/>
              <w:left w:val="single" w:sz="4" w:space="0" w:color="000000"/>
              <w:bottom w:val="single" w:sz="32" w:space="0" w:color="D3D3D3"/>
              <w:right w:val="single" w:sz="4" w:space="0" w:color="000000"/>
            </w:tcBorders>
          </w:tcPr>
          <w:p>
            <w:pPr>
              <w:pStyle w:val="TableParagraph"/>
              <w:tabs>
                <w:tab w:pos="4195"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2.可供出售金融资产公允价值变动损益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32" w:space="0" w:color="D3D3D3"/>
              <w:left w:val="single" w:sz="4" w:space="0" w:color="000000"/>
              <w:bottom w:val="single" w:sz="21" w:space="0" w:color="D3D3D3"/>
              <w:right w:val="single" w:sz="4" w:space="0" w:color="000000"/>
            </w:tcBorders>
          </w:tcPr>
          <w:p>
            <w:pPr>
              <w:pStyle w:val="TableParagraph"/>
              <w:tabs>
                <w:tab w:pos="4195" w:val="left" w:leader="none"/>
              </w:tabs>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3.持有至到期投资重分类为可供出售金融资产损益</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0" w:top="1140" w:bottom="1200" w:left="1220" w:right="1100"/>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253"/>
        <w:gridCol w:w="1277"/>
        <w:gridCol w:w="1843"/>
        <w:gridCol w:w="1982"/>
      </w:tblGrid>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5.外币财务报表折算差额</w:t>
              <w:tab/>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-12,574,736.72</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b/>
                <w:w w:val="95"/>
                <w:sz w:val="18"/>
              </w:rPr>
              <w:t>38,596,357.73</w:t>
            </w:r>
            <w:r>
              <w:rPr>
                <w:rFonts w:ascii="宋体"/>
                <w:sz w:val="18"/>
              </w:rPr>
            </w:r>
          </w:p>
        </w:tc>
      </w:tr>
      <w:tr>
        <w:trPr>
          <w:trHeight w:val="34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宋体" w:hAnsi="宋体" w:cs="宋体" w:eastAsia="宋体" w:hint="default"/>
                <w:sz w:val="15"/>
                <w:szCs w:val="15"/>
              </w:rPr>
            </w:pPr>
            <w:r>
              <w:rPr>
                <w:rFonts w:ascii="宋体"/>
                <w:spacing w:val="-1"/>
                <w:sz w:val="15"/>
              </w:rPr>
              <w:t>-0.0202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宋体" w:hAnsi="宋体" w:cs="宋体" w:eastAsia="宋体" w:hint="default"/>
                <w:sz w:val="15"/>
                <w:szCs w:val="15"/>
              </w:rPr>
            </w:pPr>
            <w:r>
              <w:rPr>
                <w:rFonts w:ascii="宋体"/>
                <w:spacing w:val="-1"/>
                <w:sz w:val="15"/>
              </w:rPr>
              <w:t>0.0621</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宋体" w:hAnsi="宋体" w:cs="宋体" w:eastAsia="宋体" w:hint="default"/>
                <w:sz w:val="15"/>
                <w:szCs w:val="15"/>
              </w:rPr>
            </w:pPr>
            <w:r>
              <w:rPr>
                <w:rFonts w:ascii="宋体"/>
                <w:spacing w:val="-1"/>
                <w:sz w:val="15"/>
              </w:rPr>
              <w:t>-0.0202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宋体" w:hAnsi="宋体" w:cs="宋体" w:eastAsia="宋体" w:hint="default"/>
                <w:sz w:val="15"/>
                <w:szCs w:val="15"/>
              </w:rPr>
            </w:pPr>
            <w:r>
              <w:rPr>
                <w:rFonts w:ascii="宋体"/>
                <w:spacing w:val="-1"/>
                <w:sz w:val="15"/>
              </w:rPr>
              <w:t>0.0621</w:t>
            </w:r>
          </w:p>
        </w:tc>
      </w:tr>
    </w:tbl>
    <w:p>
      <w:pPr>
        <w:spacing w:line="240" w:lineRule="auto" w:before="3"/>
        <w:rPr>
          <w:rFonts w:ascii="宋体" w:hAnsi="宋体" w:cs="宋体" w:eastAsia="宋体" w:hint="default"/>
          <w:sz w:val="8"/>
          <w:szCs w:val="8"/>
        </w:rPr>
      </w:pPr>
    </w:p>
    <w:p>
      <w:pPr>
        <w:pStyle w:val="BodyText"/>
        <w:tabs>
          <w:tab w:pos="3510" w:val="left" w:leader="none"/>
          <w:tab w:pos="7081" w:val="left" w:leader="none"/>
        </w:tabs>
        <w:spacing w:line="240" w:lineRule="auto" w:before="36"/>
        <w:ind w:left="673" w:right="0"/>
        <w:jc w:val="left"/>
      </w:pPr>
      <w:r>
        <w:rPr>
          <w:spacing w:val="-2"/>
        </w:rPr>
        <w:t>法定代表人：吴鹰</w:t>
        <w:tab/>
        <w:t>主管会计工作负责人：汪强</w:t>
        <w:tab/>
        <w:t>会计机构负责人：张雷</w:t>
      </w:r>
    </w:p>
    <w:p>
      <w:pPr>
        <w:spacing w:line="240" w:lineRule="auto" w:before="9"/>
        <w:rPr>
          <w:rFonts w:ascii="宋体" w:hAnsi="宋体" w:cs="宋体" w:eastAsia="宋体" w:hint="default"/>
          <w:sz w:val="26"/>
          <w:szCs w:val="26"/>
        </w:rPr>
      </w:pPr>
    </w:p>
    <w:p>
      <w:pPr>
        <w:spacing w:before="0"/>
        <w:ind w:left="253" w:right="713" w:firstLine="0"/>
        <w:jc w:val="left"/>
        <w:rPr>
          <w:rFonts w:ascii="宋体" w:hAnsi="宋体" w:cs="宋体" w:eastAsia="宋体" w:hint="default"/>
          <w:sz w:val="21"/>
          <w:szCs w:val="21"/>
        </w:rPr>
      </w:pPr>
      <w:r>
        <w:rPr>
          <w:rFonts w:ascii="宋体" w:hAnsi="宋体" w:cs="宋体" w:eastAsia="宋体" w:hint="default"/>
          <w:b/>
          <w:bCs/>
          <w:sz w:val="21"/>
          <w:szCs w:val="21"/>
        </w:rPr>
        <w:t>5、合并现金流量表</w:t>
      </w:r>
      <w:r>
        <w:rPr>
          <w:rFonts w:ascii="宋体" w:hAnsi="宋体" w:cs="宋体" w:eastAsia="宋体" w:hint="default"/>
          <w:sz w:val="21"/>
          <w:szCs w:val="21"/>
        </w:rPr>
      </w:r>
    </w:p>
    <w:p>
      <w:pPr>
        <w:pStyle w:val="BodyText"/>
        <w:tabs>
          <w:tab w:pos="6764" w:val="left" w:leader="none"/>
        </w:tabs>
        <w:spacing w:line="240" w:lineRule="auto" w:before="37"/>
        <w:ind w:left="673" w:right="713"/>
        <w:jc w:val="left"/>
      </w:pPr>
      <w:r>
        <w:rPr>
          <w:spacing w:val="-2"/>
        </w:rPr>
        <w:t>编制单位：茂业通信网络股份有限公司</w:t>
        <w:tab/>
        <w:t>金额单位：人民币元</w:t>
      </w:r>
    </w:p>
    <w:p>
      <w:pPr>
        <w:spacing w:line="240" w:lineRule="auto" w:before="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4253"/>
        <w:gridCol w:w="1418"/>
        <w:gridCol w:w="1841"/>
        <w:gridCol w:w="1843"/>
      </w:tblGrid>
      <w:tr>
        <w:trPr>
          <w:trHeight w:val="379"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附件</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1,899,006,847.09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1,751,530,071.74</w:t>
            </w:r>
          </w:p>
        </w:tc>
      </w:tr>
      <w:tr>
        <w:trPr>
          <w:trHeight w:val="348" w:hRule="exact"/>
        </w:trPr>
        <w:tc>
          <w:tcPr>
            <w:tcW w:w="4253" w:type="dxa"/>
            <w:tcBorders>
              <w:top w:val="single" w:sz="6" w:space="0" w:color="D3D3D3"/>
              <w:left w:val="single" w:sz="4" w:space="0" w:color="000000"/>
              <w:bottom w:val="single" w:sz="14"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客户存款和同业存放款项净增加额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产净增加额</w:t>
            </w:r>
          </w:p>
        </w:tc>
        <w:tc>
          <w:tcPr>
            <w:tcW w:w="1418" w:type="dxa"/>
            <w:tcBorders>
              <w:top w:val="single" w:sz="4" w:space="0" w:color="000000"/>
              <w:left w:val="single" w:sz="13" w:space="0" w:color="D3D3D3"/>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拆入资金净增加额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六、39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88,682,771.33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157,326,762.87</w:t>
            </w:r>
          </w:p>
        </w:tc>
      </w:tr>
      <w:tr>
        <w:trPr>
          <w:trHeight w:val="34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1,987,689,618.42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1,908,856,834.61</w:t>
            </w:r>
            <w:r>
              <w:rPr>
                <w:rFonts w:ascii="宋体"/>
                <w:sz w:val="18"/>
              </w:rPr>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1,270,881,182.85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988,267,932.59</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415,469,845.74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364,118,422.26</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114,413,704.12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199,487,809.34</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六、39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143,761,562.39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208,533,557.55</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1,944,526,295.10</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1,760,407,721.74</w:t>
            </w:r>
            <w:r>
              <w:rPr>
                <w:rFonts w:ascii="宋体"/>
                <w:sz w:val="18"/>
              </w:rPr>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43,163,323.32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148,449,112.87</w:t>
            </w:r>
            <w:r>
              <w:rPr>
                <w:rFonts w:ascii="宋体"/>
                <w:sz w:val="18"/>
              </w:rPr>
            </w:r>
          </w:p>
        </w:tc>
      </w:tr>
      <w:tr>
        <w:trPr>
          <w:trHeight w:val="34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702,937,800.00</w:t>
            </w:r>
          </w:p>
        </w:tc>
      </w:tr>
    </w:tbl>
    <w:p>
      <w:pPr>
        <w:spacing w:after="0" w:line="240" w:lineRule="auto"/>
        <w:jc w:val="right"/>
        <w:rPr>
          <w:rFonts w:ascii="宋体" w:hAnsi="宋体" w:cs="宋体" w:eastAsia="宋体" w:hint="default"/>
          <w:sz w:val="18"/>
          <w:szCs w:val="18"/>
        </w:rPr>
        <w:sectPr>
          <w:pgSz w:w="11910" w:h="16840"/>
          <w:pgMar w:header="884" w:footer="1000" w:top="1140" w:bottom="1200" w:left="1220" w:right="1100"/>
        </w:sect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4253"/>
        <w:gridCol w:w="1418"/>
        <w:gridCol w:w="1841"/>
        <w:gridCol w:w="1843"/>
      </w:tblGrid>
      <w:tr>
        <w:trPr>
          <w:trHeight w:val="350" w:hRule="exact"/>
        </w:trPr>
        <w:tc>
          <w:tcPr>
            <w:tcW w:w="4253" w:type="dxa"/>
            <w:tcBorders>
              <w:top w:val="single" w:sz="10" w:space="0" w:color="D3D3D3"/>
              <w:left w:val="single" w:sz="4" w:space="0" w:color="000000"/>
              <w:bottom w:val="single" w:sz="10" w:space="0" w:color="D3D3D3"/>
              <w:right w:val="single" w:sz="4" w:space="0" w:color="000000"/>
            </w:tcBorders>
          </w:tcPr>
          <w:p>
            <w:pPr>
              <w:pStyle w:val="TableParagraph"/>
              <w:tabs>
                <w:tab w:pos="383" w:val="left" w:leader="none"/>
                <w:tab w:pos="4219" w:val="left" w:leader="none"/>
              </w:tabs>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取得投资收益收到的现金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53,577,037.85</w:t>
            </w:r>
          </w:p>
        </w:tc>
      </w:tr>
      <w:tr>
        <w:trPr>
          <w:trHeight w:val="47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18" w:type="dxa"/>
            <w:tcBorders>
              <w:top w:val="single" w:sz="4" w:space="0" w:color="000000"/>
              <w:left w:val="single" w:sz="13" w:space="0" w:color="D3D3D3"/>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0"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处置子公司及其他营业单位收到的现金净额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收到其他与投资活动有关的现金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六、39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66,145,780.81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1,039,093.26</w:t>
            </w:r>
          </w:p>
        </w:tc>
      </w:tr>
      <w:tr>
        <w:trPr>
          <w:trHeight w:val="348" w:hRule="exact"/>
        </w:trPr>
        <w:tc>
          <w:tcPr>
            <w:tcW w:w="4253" w:type="dxa"/>
            <w:tcBorders>
              <w:top w:val="single" w:sz="6" w:space="0" w:color="D3D3D3"/>
              <w:left w:val="single" w:sz="4" w:space="0" w:color="000000"/>
              <w:bottom w:val="single" w:sz="5"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投资活动现金流入小计</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66,145,780.81</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757,553,931.11</w:t>
            </w:r>
            <w:r>
              <w:rPr>
                <w:rFonts w:ascii="宋体"/>
                <w:sz w:val="18"/>
              </w:rPr>
            </w:r>
          </w:p>
        </w:tc>
      </w:tr>
      <w:tr>
        <w:trPr>
          <w:trHeight w:val="478"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6" w:lineRule="exact"/>
              <w:ind w:left="38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18" w:type="dxa"/>
            <w:tcBorders>
              <w:top w:val="single" w:sz="4" w:space="0" w:color="000000"/>
              <w:left w:val="single" w:sz="13" w:space="0" w:color="D3D3D3"/>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29,567,335.52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11,903,834.25</w:t>
            </w:r>
          </w:p>
        </w:tc>
      </w:tr>
      <w:tr>
        <w:trPr>
          <w:trHeight w:val="350" w:hRule="exact"/>
        </w:trPr>
        <w:tc>
          <w:tcPr>
            <w:tcW w:w="4253" w:type="dxa"/>
            <w:tcBorders>
              <w:top w:val="single" w:sz="10"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投资支付的现金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质押贷款净增加额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取得子公司及其他营业单位支付的现金净额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3" w:type="dxa"/>
            <w:tcBorders>
              <w:top w:val="single" w:sz="6" w:space="0" w:color="D3D3D3"/>
              <w:left w:val="single" w:sz="4" w:space="0" w:color="000000"/>
              <w:bottom w:val="single" w:sz="5"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支付其他与投资活动有关的现金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六、39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168,000,000.00</w:t>
            </w:r>
          </w:p>
        </w:tc>
      </w:tr>
      <w:tr>
        <w:trPr>
          <w:trHeight w:val="350" w:hRule="exact"/>
        </w:trPr>
        <w:tc>
          <w:tcPr>
            <w:tcW w:w="4253" w:type="dxa"/>
            <w:tcBorders>
              <w:top w:val="single" w:sz="5"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投资活动现金流出小计</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79,567,335.52</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179,903,834.25</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投资活动产生的现金流量净额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-13,421,554.71</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577,650,096.86</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三、筹资活动产生的现金流量：</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吸收投资收到的现金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其中：子公司吸收少数股东投资收到的现金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53" w:type="dxa"/>
            <w:tcBorders>
              <w:top w:val="single" w:sz="6" w:space="0" w:color="D3D3D3"/>
              <w:left w:val="single" w:sz="4" w:space="0" w:color="000000"/>
              <w:bottom w:val="single" w:sz="14"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取得借款收到的现金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46,000,000.00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75,000,000.00</w:t>
            </w:r>
          </w:p>
        </w:tc>
      </w:tr>
      <w:tr>
        <w:trPr>
          <w:trHeight w:val="350" w:hRule="exact"/>
        </w:trPr>
        <w:tc>
          <w:tcPr>
            <w:tcW w:w="4253" w:type="dxa"/>
            <w:tcBorders>
              <w:top w:val="single" w:sz="14"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发行债券收到的现金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收到其他与筹资活动有关的现金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筹资活动现金流入小计</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46,000,000.00</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75,000,000.00</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偿还债务支付的现金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46,000,000.00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669,600,000.00</w:t>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分配股利、利润或偿付利息支付的现金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22,898,617.18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18,431,134.61</w:t>
            </w:r>
          </w:p>
        </w:tc>
      </w:tr>
      <w:tr>
        <w:trPr>
          <w:trHeight w:val="348" w:hRule="exact"/>
        </w:trPr>
        <w:tc>
          <w:tcPr>
            <w:tcW w:w="4253" w:type="dxa"/>
            <w:tcBorders>
              <w:top w:val="single" w:sz="6" w:space="0" w:color="D3D3D3"/>
              <w:left w:val="single" w:sz="4" w:space="0" w:color="000000"/>
              <w:bottom w:val="single" w:sz="14"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其中：子公司支付给少数股东的股利、利润</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14" w:space="0" w:color="D3D3D3"/>
              <w:left w:val="single" w:sz="4" w:space="0" w:color="000000"/>
              <w:bottom w:val="single" w:sz="6" w:space="0" w:color="D3D3D3"/>
              <w:right w:val="single" w:sz="4" w:space="0" w:color="000000"/>
            </w:tcBorders>
          </w:tcPr>
          <w:p>
            <w:pPr>
              <w:pStyle w:val="TableParagraph"/>
              <w:tabs>
                <w:tab w:pos="383" w:val="left" w:leader="none"/>
                <w:tab w:pos="4219" w:val="left" w:leader="none"/>
              </w:tabs>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支付其他与筹资活动有关的现金</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筹资活动现金流出小计</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68,898,617.18</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688,031,134.61</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筹资活动产生的现金流量净额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-22,898,617.18</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-613,031,134.61</w:t>
            </w:r>
            <w:r>
              <w:rPr>
                <w:rFonts w:ascii="宋体"/>
                <w:sz w:val="18"/>
              </w:rPr>
            </w: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四、汇率变动对现金及现金等价物的影响</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6" w:space="0" w:color="D3D3D3"/>
              <w:left w:val="single" w:sz="4" w:space="0" w:color="000000"/>
              <w:bottom w:val="single" w:sz="6" w:space="0" w:color="D3D3D3"/>
              <w:right w:val="single" w:sz="4" w:space="0" w:color="000000"/>
            </w:tcBorders>
          </w:tcPr>
          <w:p>
            <w:pPr>
              <w:pStyle w:val="TableParagraph"/>
              <w:tabs>
                <w:tab w:pos="4219"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五、现金及现金等价物净增加额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sz w:val="18"/>
              </w:rPr>
              <w:t>6,843,151.43</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113,068,075.12</w:t>
            </w:r>
          </w:p>
        </w:tc>
      </w:tr>
      <w:tr>
        <w:trPr>
          <w:trHeight w:val="348" w:hRule="exact"/>
        </w:trPr>
        <w:tc>
          <w:tcPr>
            <w:tcW w:w="4253" w:type="dxa"/>
            <w:tcBorders>
              <w:top w:val="single" w:sz="6" w:space="0" w:color="D3D3D3"/>
              <w:left w:val="single" w:sz="4" w:space="0" w:color="000000"/>
              <w:bottom w:val="single" w:sz="14" w:space="0" w:color="D3D3D3"/>
              <w:right w:val="single" w:sz="4" w:space="0" w:color="000000"/>
            </w:tcBorders>
          </w:tcPr>
          <w:p>
            <w:pPr>
              <w:pStyle w:val="TableParagraph"/>
              <w:tabs>
                <w:tab w:pos="383" w:val="left" w:leader="none"/>
                <w:tab w:pos="4219"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加：期初现金及现金等价物余额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338,214,720.30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225,146,645.18</w:t>
            </w:r>
          </w:p>
        </w:tc>
      </w:tr>
      <w:tr>
        <w:trPr>
          <w:trHeight w:val="350" w:hRule="exact"/>
        </w:trPr>
        <w:tc>
          <w:tcPr>
            <w:tcW w:w="4253" w:type="dxa"/>
            <w:tcBorders>
              <w:top w:val="single" w:sz="14" w:space="0" w:color="D3D3D3"/>
              <w:left w:val="single" w:sz="4" w:space="0" w:color="000000"/>
              <w:bottom w:val="single" w:sz="10" w:space="0" w:color="D3D3D3"/>
              <w:right w:val="single" w:sz="4" w:space="0" w:color="000000"/>
            </w:tcBorders>
          </w:tcPr>
          <w:p>
            <w:pPr>
              <w:pStyle w:val="TableParagraph"/>
              <w:tabs>
                <w:tab w:pos="4219" w:val="left" w:leader="none"/>
              </w:tabs>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六、期末现金及现金等价物余额</w:t>
              <w:tab/>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345,057,871.73</w:t>
            </w:r>
            <w:r>
              <w:rPr>
                <w:rFonts w:ascii="宋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b/>
                <w:w w:val="95"/>
                <w:sz w:val="18"/>
              </w:rPr>
              <w:t>338,214,720.30</w:t>
            </w:r>
            <w:r>
              <w:rPr>
                <w:rFonts w:ascii="宋体"/>
                <w:sz w:val="18"/>
              </w:rPr>
            </w:r>
          </w:p>
        </w:tc>
      </w:tr>
    </w:tbl>
    <w:p>
      <w:pPr>
        <w:spacing w:line="240" w:lineRule="auto" w:before="7"/>
        <w:rPr>
          <w:rFonts w:ascii="宋体" w:hAnsi="宋体" w:cs="宋体" w:eastAsia="宋体" w:hint="default"/>
          <w:sz w:val="19"/>
          <w:szCs w:val="19"/>
        </w:rPr>
      </w:pPr>
    </w:p>
    <w:p>
      <w:pPr>
        <w:pStyle w:val="BodyText"/>
        <w:tabs>
          <w:tab w:pos="3510" w:val="left" w:leader="none"/>
          <w:tab w:pos="7081" w:val="left" w:leader="none"/>
        </w:tabs>
        <w:spacing w:line="240" w:lineRule="auto" w:before="36"/>
        <w:ind w:left="673" w:right="0"/>
        <w:jc w:val="left"/>
      </w:pPr>
      <w:r>
        <w:rPr>
          <w:spacing w:val="-2"/>
        </w:rPr>
        <w:t>法定代表人：吴鹰</w:t>
        <w:tab/>
        <w:t>主管会计工作负责人：汪强</w:t>
        <w:tab/>
        <w:t>会计机构负责人：张雷</w:t>
      </w:r>
    </w:p>
    <w:p>
      <w:pPr>
        <w:spacing w:line="240" w:lineRule="auto" w:before="9"/>
        <w:rPr>
          <w:rFonts w:ascii="宋体" w:hAnsi="宋体" w:cs="宋体" w:eastAsia="宋体" w:hint="default"/>
          <w:sz w:val="26"/>
          <w:szCs w:val="26"/>
        </w:rPr>
      </w:pPr>
    </w:p>
    <w:p>
      <w:pPr>
        <w:spacing w:before="0"/>
        <w:ind w:left="253" w:right="713" w:firstLine="0"/>
        <w:jc w:val="left"/>
        <w:rPr>
          <w:rFonts w:ascii="宋体" w:hAnsi="宋体" w:cs="宋体" w:eastAsia="宋体" w:hint="default"/>
          <w:sz w:val="21"/>
          <w:szCs w:val="21"/>
        </w:rPr>
      </w:pPr>
      <w:r>
        <w:rPr>
          <w:rFonts w:ascii="宋体" w:hAnsi="宋体" w:cs="宋体" w:eastAsia="宋体" w:hint="default"/>
          <w:b/>
          <w:bCs/>
          <w:sz w:val="21"/>
          <w:szCs w:val="21"/>
        </w:rPr>
        <w:t>6、母公司现金流量表</w:t>
      </w:r>
      <w:r>
        <w:rPr>
          <w:rFonts w:ascii="宋体" w:hAnsi="宋体" w:cs="宋体" w:eastAsia="宋体" w:hint="default"/>
          <w:sz w:val="21"/>
          <w:szCs w:val="21"/>
        </w:rPr>
      </w:r>
    </w:p>
    <w:p>
      <w:pPr>
        <w:pStyle w:val="BodyText"/>
        <w:tabs>
          <w:tab w:pos="6764" w:val="left" w:leader="none"/>
        </w:tabs>
        <w:spacing w:line="240" w:lineRule="auto" w:before="37"/>
        <w:ind w:left="673" w:right="713"/>
        <w:jc w:val="left"/>
      </w:pPr>
      <w:r>
        <w:rPr>
          <w:spacing w:val="-2"/>
        </w:rPr>
        <w:t>编制单位：茂业通信网络股份有限公司</w:t>
        <w:tab/>
        <w:t>金额单位：人民币元</w:t>
      </w:r>
    </w:p>
    <w:p>
      <w:pPr>
        <w:spacing w:line="240" w:lineRule="auto" w:before="9"/>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4394"/>
        <w:gridCol w:w="991"/>
        <w:gridCol w:w="1987"/>
        <w:gridCol w:w="1982"/>
      </w:tblGrid>
      <w:tr>
        <w:trPr>
          <w:trHeight w:val="386" w:hRule="exact"/>
        </w:trPr>
        <w:tc>
          <w:tcPr>
            <w:tcW w:w="4394" w:type="dxa"/>
            <w:tcBorders>
              <w:top w:val="single" w:sz="19" w:space="0" w:color="D3D3D3"/>
              <w:left w:val="single" w:sz="4" w:space="0" w:color="000000"/>
              <w:bottom w:val="single" w:sz="15" w:space="0" w:color="D3D3D3"/>
              <w:right w:val="single" w:sz="4" w:space="0" w:color="000000"/>
            </w:tcBorders>
          </w:tcPr>
          <w:p>
            <w:pPr>
              <w:pStyle w:val="TableParagraph"/>
              <w:tabs>
                <w:tab w:pos="2013" w:val="left" w:leader="none"/>
                <w:tab w:pos="4363" w:val="left" w:leader="none"/>
              </w:tabs>
              <w:spacing w:line="240" w:lineRule="auto" w:before="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12" w:right="0"/>
              <w:jc w:val="left"/>
              <w:rPr>
                <w:rFonts w:ascii="宋体" w:hAnsi="宋体" w:cs="宋体" w:eastAsia="宋体" w:hint="default"/>
                <w:sz w:val="18"/>
                <w:szCs w:val="18"/>
              </w:rPr>
            </w:pPr>
            <w:r>
              <w:rPr>
                <w:rFonts w:ascii="宋体" w:hAnsi="宋体" w:cs="宋体" w:eastAsia="宋体" w:hint="default"/>
                <w:sz w:val="18"/>
                <w:szCs w:val="18"/>
              </w:rPr>
              <w:t>附件</w:t>
            </w: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4394" w:type="dxa"/>
            <w:tcBorders>
              <w:top w:val="single" w:sz="15" w:space="0" w:color="D3D3D3"/>
              <w:left w:val="single" w:sz="4" w:space="0" w:color="000000"/>
              <w:bottom w:val="single" w:sz="6" w:space="0" w:color="D3D3D3"/>
              <w:right w:val="single" w:sz="4" w:space="0" w:color="000000"/>
            </w:tcBorders>
          </w:tcPr>
          <w:p>
            <w:pPr>
              <w:pStyle w:val="TableParagraph"/>
              <w:tabs>
                <w:tab w:pos="4363" w:val="left" w:leader="none"/>
              </w:tabs>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一、经营活动产生的现金流量：</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48" w:hRule="exact"/>
        </w:trPr>
        <w:tc>
          <w:tcPr>
            <w:tcW w:w="4394" w:type="dxa"/>
            <w:tcBorders>
              <w:top w:val="single" w:sz="6" w:space="0" w:color="D3D3D3"/>
              <w:left w:val="single" w:sz="4" w:space="0" w:color="000000"/>
              <w:bottom w:val="single" w:sz="5" w:space="0" w:color="D3D3D3"/>
              <w:right w:val="single" w:sz="4" w:space="0" w:color="000000"/>
            </w:tcBorders>
          </w:tcPr>
          <w:p>
            <w:pPr>
              <w:pStyle w:val="TableParagraph"/>
              <w:tabs>
                <w:tab w:pos="383" w:val="left" w:leader="none"/>
                <w:tab w:pos="4363"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销售商品、提供劳务收到的现金</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5" w:space="0" w:color="D3D3D3"/>
              <w:left w:val="single" w:sz="4" w:space="0" w:color="000000"/>
              <w:bottom w:val="single" w:sz="6" w:space="0" w:color="D3D3D3"/>
              <w:right w:val="single" w:sz="4" w:space="0" w:color="000000"/>
            </w:tcBorders>
          </w:tcPr>
          <w:p>
            <w:pPr>
              <w:pStyle w:val="TableParagraph"/>
              <w:tabs>
                <w:tab w:pos="383" w:val="left" w:leader="none"/>
                <w:tab w:pos="4363" w:val="left" w:leader="none"/>
              </w:tabs>
              <w:spacing w:line="240" w:lineRule="auto" w:before="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收到的税费返还</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6" w:space="0" w:color="D3D3D3"/>
              <w:left w:val="single" w:sz="4" w:space="0" w:color="000000"/>
              <w:bottom w:val="single" w:sz="15" w:space="0" w:color="D3D3D3"/>
              <w:right w:val="single" w:sz="4" w:space="0" w:color="000000"/>
            </w:tcBorders>
          </w:tcPr>
          <w:p>
            <w:pPr>
              <w:pStyle w:val="TableParagraph"/>
              <w:tabs>
                <w:tab w:pos="383" w:val="left" w:leader="none"/>
                <w:tab w:pos="4363"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收到其他与经营活动有关的现金</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280,966.44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2,301,253.62</w:t>
            </w:r>
          </w:p>
        </w:tc>
      </w:tr>
      <w:tr>
        <w:trPr>
          <w:trHeight w:val="350" w:hRule="exact"/>
        </w:trPr>
        <w:tc>
          <w:tcPr>
            <w:tcW w:w="4394" w:type="dxa"/>
            <w:tcBorders>
              <w:top w:val="single" w:sz="15" w:space="0" w:color="D3D3D3"/>
              <w:left w:val="single" w:sz="4" w:space="0" w:color="000000"/>
              <w:bottom w:val="single" w:sz="10" w:space="0" w:color="D3D3D3"/>
              <w:right w:val="single" w:sz="4" w:space="0" w:color="000000"/>
            </w:tcBorders>
          </w:tcPr>
          <w:p>
            <w:pPr>
              <w:pStyle w:val="TableParagraph"/>
              <w:tabs>
                <w:tab w:pos="4363" w:val="left" w:leader="none"/>
              </w:tabs>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经营活动现金流入小计</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280,966.44</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sz w:val="18"/>
              </w:rPr>
              <w:t>2,301,253.62</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54"/>
          <w:pgSz w:w="11910" w:h="16840"/>
          <w:pgMar w:footer="1000" w:header="884" w:top="1140" w:bottom="1200" w:left="1220" w:right="1100"/>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394"/>
        <w:gridCol w:w="991"/>
        <w:gridCol w:w="1987"/>
        <w:gridCol w:w="1982"/>
      </w:tblGrid>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6" w:space="0" w:color="D3D3D3"/>
              <w:left w:val="single" w:sz="4" w:space="0" w:color="000000"/>
              <w:bottom w:val="single" w:sz="6" w:space="0" w:color="D3D3D3"/>
              <w:right w:val="single" w:sz="4" w:space="0" w:color="000000"/>
            </w:tcBorders>
          </w:tcPr>
          <w:p>
            <w:pPr>
              <w:pStyle w:val="TableParagraph"/>
              <w:tabs>
                <w:tab w:pos="383" w:val="left" w:leader="none"/>
                <w:tab w:pos="4363"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支付给职工以及为职工支付的现金</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2,916,185.59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3,034,754.70</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2,214,920.77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93,317,783.33</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7,402,033.50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11,805,452.45</w:t>
            </w:r>
          </w:p>
        </w:tc>
      </w:tr>
      <w:tr>
        <w:trPr>
          <w:trHeight w:val="348"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b/>
                <w:w w:val="95"/>
                <w:sz w:val="18"/>
              </w:rPr>
              <w:t>12,533,139.86</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108,157,990.48</w:t>
            </w:r>
            <w:r>
              <w:rPr>
                <w:rFonts w:ascii="宋体"/>
                <w:sz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-12,252,173.42</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-105,856,736.86</w:t>
            </w:r>
            <w:r>
              <w:rPr>
                <w:rFonts w:ascii="宋体"/>
                <w:sz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702,937,800.00</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73,577,037.85</w:t>
            </w:r>
          </w:p>
        </w:tc>
      </w:tr>
      <w:tr>
        <w:trPr>
          <w:trHeight w:val="478"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1" w:type="dxa"/>
            <w:tcBorders>
              <w:top w:val="single" w:sz="4" w:space="0" w:color="000000"/>
              <w:left w:val="single" w:sz="12" w:space="0" w:color="D3D3D3"/>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35,895,342.45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313,545.21</w:t>
            </w:r>
          </w:p>
        </w:tc>
      </w:tr>
      <w:tr>
        <w:trPr>
          <w:trHeight w:val="350" w:hRule="exact"/>
        </w:trPr>
        <w:tc>
          <w:tcPr>
            <w:tcW w:w="4394" w:type="dxa"/>
            <w:tcBorders>
              <w:top w:val="single" w:sz="14" w:space="0" w:color="D3D3D3"/>
              <w:left w:val="single" w:sz="4" w:space="0" w:color="000000"/>
              <w:bottom w:val="single" w:sz="15" w:space="0" w:color="D3D3D3"/>
              <w:right w:val="single" w:sz="4" w:space="0" w:color="000000"/>
            </w:tcBorders>
          </w:tcPr>
          <w:p>
            <w:pPr>
              <w:pStyle w:val="TableParagraph"/>
              <w:tabs>
                <w:tab w:pos="383" w:val="left" w:leader="none"/>
                <w:tab w:pos="4363" w:val="left" w:leader="none"/>
              </w:tabs>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收到其他与投资活动有关的现金</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b/>
                <w:w w:val="95"/>
                <w:sz w:val="18"/>
              </w:rPr>
              <w:t>35,895,342.45</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776,828,383.06</w:t>
            </w:r>
            <w:r>
              <w:rPr>
                <w:rFonts w:ascii="宋体"/>
                <w:sz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1,004,969.44</w:t>
            </w:r>
          </w:p>
        </w:tc>
      </w:tr>
      <w:tr>
        <w:trPr>
          <w:trHeight w:val="350" w:hRule="exact"/>
        </w:trPr>
        <w:tc>
          <w:tcPr>
            <w:tcW w:w="4394" w:type="dxa"/>
            <w:tcBorders>
              <w:top w:val="single" w:sz="21" w:space="0" w:color="D3D3D3"/>
              <w:left w:val="single" w:sz="4" w:space="0" w:color="000000"/>
              <w:bottom w:val="single" w:sz="21" w:space="0" w:color="D3D3D3"/>
              <w:right w:val="single" w:sz="4" w:space="0" w:color="000000"/>
            </w:tcBorders>
          </w:tcPr>
          <w:p>
            <w:pPr>
              <w:pStyle w:val="TableParagraph"/>
              <w:tabs>
                <w:tab w:pos="4363" w:val="left" w:leader="none"/>
              </w:tabs>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购建固定资产、无形资产和其他长期资产支付的现金</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20,000,000.00</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88,000,000.00</w:t>
            </w:r>
          </w:p>
        </w:tc>
      </w:tr>
      <w:tr>
        <w:trPr>
          <w:trHeight w:val="350" w:hRule="exact"/>
        </w:trPr>
        <w:tc>
          <w:tcPr>
            <w:tcW w:w="4394" w:type="dxa"/>
            <w:tcBorders>
              <w:top w:val="single" w:sz="6" w:space="0" w:color="D3D3D3"/>
              <w:left w:val="single" w:sz="4" w:space="0" w:color="000000"/>
              <w:bottom w:val="single" w:sz="15" w:space="0" w:color="D3D3D3"/>
              <w:right w:val="single" w:sz="4" w:space="0" w:color="000000"/>
            </w:tcBorders>
          </w:tcPr>
          <w:p>
            <w:pPr>
              <w:pStyle w:val="TableParagraph"/>
              <w:tabs>
                <w:tab w:pos="383" w:val="left" w:leader="none"/>
                <w:tab w:pos="4363" w:val="left" w:leader="none"/>
              </w:tabs>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取得子公司及其他营业单位支付的现金净额</w:t>
              <w:tab/>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109,004,969.44</w:t>
            </w:r>
            <w:r>
              <w:rPr>
                <w:rFonts w:ascii="宋体"/>
                <w:sz w:val="18"/>
              </w:rPr>
            </w:r>
          </w:p>
        </w:tc>
      </w:tr>
      <w:tr>
        <w:trPr>
          <w:trHeight w:val="348"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b/>
                <w:w w:val="95"/>
                <w:sz w:val="18"/>
              </w:rPr>
              <w:t>35,895,342.45</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667,823,413.62</w:t>
            </w:r>
            <w:r>
              <w:rPr>
                <w:rFonts w:ascii="宋体"/>
                <w:sz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597,000,000.00</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22,385,764.29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16,436,982.75</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b/>
                <w:w w:val="95"/>
                <w:sz w:val="18"/>
              </w:rPr>
              <w:t>22,385,764.29</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613,436,982.75</w:t>
            </w:r>
            <w:r>
              <w:rPr>
                <w:rFonts w:ascii="宋体"/>
                <w:sz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-22,385,764.29</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-613,436,982.75</w:t>
            </w:r>
            <w:r>
              <w:rPr>
                <w:rFonts w:ascii="宋体"/>
                <w:sz w:val="18"/>
              </w:rPr>
            </w:r>
          </w:p>
        </w:tc>
      </w:tr>
      <w:tr>
        <w:trPr>
          <w:trHeight w:val="348"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1,257,404.74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-51,470,305.99</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3,138,390.00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54,608,695.99</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sz w:val="18"/>
              </w:rPr>
              <w:t>4,395,794.74</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sz w:val="18"/>
              </w:rPr>
              <w:t>3,138,390.00</w:t>
            </w:r>
            <w:r>
              <w:rPr>
                <w:rFonts w:ascii="宋体"/>
                <w:sz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280,966.44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2,301,253.62</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w w:val="95"/>
                <w:sz w:val="18"/>
              </w:rPr>
              <w:t>280,966.44</w:t>
            </w:r>
            <w:r>
              <w:rPr>
                <w:rFonts w:ascii="宋体"/>
                <w:sz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b/>
                <w:sz w:val="18"/>
              </w:rPr>
              <w:t>2,301,253.62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3510" w:val="left" w:leader="none"/>
          <w:tab w:pos="7081" w:val="left" w:leader="none"/>
        </w:tabs>
        <w:spacing w:line="240" w:lineRule="auto" w:before="0"/>
        <w:ind w:left="673" w:right="0"/>
        <w:jc w:val="left"/>
      </w:pPr>
      <w:r>
        <w:rPr>
          <w:spacing w:val="-2"/>
        </w:rPr>
        <w:t>法定代表人：吴鹰</w:t>
        <w:tab/>
        <w:t>主管会计工作负责人：汪强</w:t>
        <w:tab/>
        <w:t>会计机构负责人：张雷</w:t>
      </w:r>
    </w:p>
    <w:p>
      <w:pPr>
        <w:spacing w:after="0" w:line="240" w:lineRule="auto"/>
        <w:jc w:val="left"/>
        <w:sectPr>
          <w:footerReference w:type="default" r:id="rId55"/>
          <w:pgSz w:w="11910" w:h="16840"/>
          <w:pgMar w:footer="1000" w:header="884" w:top="1140" w:bottom="1200" w:left="1220" w:right="1100"/>
        </w:sectPr>
      </w:pPr>
    </w:p>
    <w:p>
      <w:pPr>
        <w:spacing w:line="240" w:lineRule="auto" w:before="4"/>
        <w:rPr>
          <w:rFonts w:ascii="宋体" w:hAnsi="宋体" w:cs="宋体" w:eastAsia="宋体" w:hint="default"/>
          <w:sz w:val="20"/>
          <w:szCs w:val="20"/>
        </w:rPr>
      </w:pPr>
    </w:p>
    <w:p>
      <w:pPr>
        <w:spacing w:before="36"/>
        <w:ind w:left="403" w:right="0" w:firstLine="0"/>
        <w:jc w:val="left"/>
        <w:rPr>
          <w:rFonts w:ascii="宋体" w:hAnsi="宋体" w:cs="宋体" w:eastAsia="宋体" w:hint="default"/>
          <w:sz w:val="21"/>
          <w:szCs w:val="21"/>
        </w:rPr>
      </w:pPr>
      <w:r>
        <w:rPr>
          <w:rFonts w:ascii="宋体" w:hAnsi="宋体" w:cs="宋体" w:eastAsia="宋体" w:hint="default"/>
          <w:b/>
          <w:bCs/>
          <w:sz w:val="21"/>
          <w:szCs w:val="21"/>
        </w:rPr>
        <w:t>7、合并所有者权益变动表</w:t>
      </w:r>
      <w:r>
        <w:rPr>
          <w:rFonts w:ascii="宋体" w:hAnsi="宋体" w:cs="宋体" w:eastAsia="宋体" w:hint="default"/>
          <w:sz w:val="21"/>
          <w:szCs w:val="21"/>
        </w:rPr>
        <w:t>(本期)</w:t>
      </w:r>
    </w:p>
    <w:p>
      <w:pPr>
        <w:pStyle w:val="BodyText"/>
        <w:tabs>
          <w:tab w:pos="12162" w:val="left" w:leader="none"/>
        </w:tabs>
        <w:spacing w:line="240" w:lineRule="auto" w:before="37"/>
        <w:ind w:left="823" w:right="0"/>
        <w:jc w:val="left"/>
      </w:pPr>
      <w:r>
        <w:rPr>
          <w:spacing w:val="-2"/>
        </w:rPr>
        <w:t>编制单位：茂业通信网络股份有限公司</w:t>
        <w:tab/>
        <w:t>金额单位：人民币元</w:t>
      </w:r>
    </w:p>
    <w:p>
      <w:pPr>
        <w:spacing w:line="240" w:lineRule="auto" w:before="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970"/>
        <w:gridCol w:w="1416"/>
        <w:gridCol w:w="286"/>
        <w:gridCol w:w="283"/>
        <w:gridCol w:w="283"/>
        <w:gridCol w:w="1558"/>
        <w:gridCol w:w="427"/>
        <w:gridCol w:w="425"/>
        <w:gridCol w:w="1560"/>
        <w:gridCol w:w="425"/>
        <w:gridCol w:w="1418"/>
        <w:gridCol w:w="1274"/>
        <w:gridCol w:w="1560"/>
      </w:tblGrid>
      <w:tr>
        <w:trPr>
          <w:trHeight w:val="322" w:hRule="exact"/>
        </w:trPr>
        <w:tc>
          <w:tcPr>
            <w:tcW w:w="3970" w:type="dxa"/>
            <w:vMerge w:val="restart"/>
            <w:tcBorders>
              <w:top w:val="single" w:sz="4" w:space="0" w:color="000000"/>
              <w:left w:val="single" w:sz="4" w:space="0" w:color="000000"/>
              <w:right w:val="single" w:sz="4" w:space="0" w:color="000000"/>
            </w:tcBorders>
            <w:shd w:val="clear" w:color="auto" w:fill="D3D3D3"/>
          </w:tcPr>
          <w:p>
            <w:pPr/>
          </w:p>
        </w:tc>
        <w:tc>
          <w:tcPr>
            <w:tcW w:w="10915"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3" w:hRule="exact"/>
        </w:trPr>
        <w:tc>
          <w:tcPr>
            <w:tcW w:w="3970" w:type="dxa"/>
            <w:vMerge/>
            <w:tcBorders>
              <w:left w:val="single" w:sz="4" w:space="0" w:color="000000"/>
              <w:right w:val="single" w:sz="4" w:space="0" w:color="000000"/>
            </w:tcBorders>
            <w:shd w:val="clear" w:color="auto" w:fill="D3D3D3"/>
          </w:tcPr>
          <w:p>
            <w:pPr/>
          </w:p>
        </w:tc>
        <w:tc>
          <w:tcPr>
            <w:tcW w:w="808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6" w:hRule="exact"/>
        </w:trPr>
        <w:tc>
          <w:tcPr>
            <w:tcW w:w="3970" w:type="dxa"/>
            <w:vMerge/>
            <w:tcBorders>
              <w:left w:val="single" w:sz="4" w:space="0" w:color="000000"/>
              <w:bottom w:val="nil" w:sz="6" w:space="0" w:color="auto"/>
              <w:right w:val="single" w:sz="4" w:space="0" w:color="000000"/>
            </w:tcBorders>
            <w:shd w:val="clear" w:color="auto" w:fill="D3D3D3"/>
          </w:tcPr>
          <w:p>
            <w:pP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5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29"/>
              <w:ind w:left="28"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29"/>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336" w:hRule="exact"/>
        </w:trPr>
        <w:tc>
          <w:tcPr>
            <w:tcW w:w="3970" w:type="dxa"/>
            <w:tcBorders>
              <w:top w:val="nil" w:sz="6" w:space="0" w:color="auto"/>
              <w:left w:val="single" w:sz="4" w:space="0" w:color="000000"/>
              <w:bottom w:val="nil" w:sz="6" w:space="0" w:color="auto"/>
              <w:right w:val="single" w:sz="4" w:space="0" w:color="000000"/>
            </w:tcBorders>
          </w:tcPr>
          <w:p>
            <w:pPr>
              <w:pStyle w:val="TableParagraph"/>
              <w:tabs>
                <w:tab w:pos="1799" w:val="left" w:leader="none"/>
                <w:tab w:pos="3935" w:val="left" w:leader="none"/>
              </w:tabs>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416" w:type="dxa"/>
            <w:vMerge/>
            <w:tcBorders>
              <w:left w:val="single" w:sz="4" w:space="0" w:color="000000"/>
              <w:right w:val="single" w:sz="4" w:space="0" w:color="000000"/>
            </w:tcBorders>
            <w:shd w:val="clear" w:color="auto" w:fill="D3D3D3"/>
          </w:tcPr>
          <w:p>
            <w:pPr/>
          </w:p>
        </w:tc>
        <w:tc>
          <w:tcPr>
            <w:tcW w:w="852" w:type="dxa"/>
            <w:gridSpan w:val="3"/>
            <w:vMerge/>
            <w:tcBorders>
              <w:left w:val="single" w:sz="4" w:space="0" w:color="000000"/>
              <w:bottom w:val="single" w:sz="4" w:space="0" w:color="000000"/>
              <w:right w:val="single" w:sz="4" w:space="0" w:color="000000"/>
            </w:tcBorders>
            <w:shd w:val="clear" w:color="auto" w:fill="D3D3D3"/>
          </w:tcPr>
          <w:p>
            <w:pPr/>
          </w:p>
        </w:tc>
        <w:tc>
          <w:tcPr>
            <w:tcW w:w="1558" w:type="dxa"/>
            <w:vMerge/>
            <w:tcBorders>
              <w:left w:val="single" w:sz="4" w:space="0" w:color="000000"/>
              <w:right w:val="single" w:sz="4" w:space="0" w:color="000000"/>
            </w:tcBorders>
            <w:shd w:val="clear" w:color="auto" w:fill="D3D3D3"/>
          </w:tcPr>
          <w:p>
            <w:pPr/>
          </w:p>
        </w:tc>
        <w:tc>
          <w:tcPr>
            <w:tcW w:w="427"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734" w:hRule="exact"/>
        </w:trPr>
        <w:tc>
          <w:tcPr>
            <w:tcW w:w="3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ind w:left="47" w:right="4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ind w:left="47" w:right="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45"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shd w:val="clear" w:color="auto" w:fill="D3D3D3"/>
          </w:tcPr>
          <w:p>
            <w:pPr/>
          </w:p>
        </w:tc>
        <w:tc>
          <w:tcPr>
            <w:tcW w:w="427"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283" w:hRule="exact"/>
        </w:trPr>
        <w:tc>
          <w:tcPr>
            <w:tcW w:w="3970" w:type="dxa"/>
            <w:tcBorders>
              <w:top w:val="single" w:sz="9" w:space="0" w:color="D3D3D3"/>
              <w:left w:val="single" w:sz="4" w:space="0" w:color="000000"/>
              <w:bottom w:val="single" w:sz="8" w:space="0" w:color="D3D3D3"/>
              <w:right w:val="single" w:sz="4" w:space="0" w:color="000000"/>
            </w:tcBorders>
          </w:tcPr>
          <w:p>
            <w:pPr>
              <w:pStyle w:val="TableParagraph"/>
              <w:tabs>
                <w:tab w:pos="3935"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一、上年期末余额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621,826,786.00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z w:val="18"/>
              </w:rPr>
              <w:t>89,393,650.22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638,994,670.57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2,454,833,114.41</w:t>
            </w:r>
          </w:p>
        </w:tc>
      </w:tr>
      <w:tr>
        <w:trPr>
          <w:trHeight w:val="257" w:hRule="exact"/>
        </w:trPr>
        <w:tc>
          <w:tcPr>
            <w:tcW w:w="3970" w:type="dxa"/>
            <w:tcBorders>
              <w:top w:val="single" w:sz="8" w:space="0" w:color="D3D3D3"/>
              <w:left w:val="single" w:sz="4" w:space="0" w:color="000000"/>
              <w:bottom w:val="single" w:sz="4" w:space="0" w:color="000000"/>
              <w:right w:val="single" w:sz="4" w:space="0" w:color="000000"/>
            </w:tcBorders>
          </w:tcPr>
          <w:p>
            <w:pPr>
              <w:pStyle w:val="TableParagraph"/>
              <w:tabs>
                <w:tab w:pos="3935" w:val="left" w:leader="none"/>
              </w:tabs>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加：会计政策变更</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4" w:space="0" w:color="000000"/>
              <w:left w:val="single" w:sz="4" w:space="0" w:color="000000"/>
              <w:bottom w:val="single" w:sz="9" w:space="0" w:color="000000"/>
              <w:right w:val="single" w:sz="4" w:space="0" w:color="000000"/>
            </w:tcBorders>
          </w:tcPr>
          <w:p>
            <w:pPr>
              <w:pStyle w:val="TableParagraph"/>
              <w:tabs>
                <w:tab w:pos="3935" w:val="left" w:leader="none"/>
              </w:tabs>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宋体" w:hAnsi="宋体" w:cs="宋体" w:eastAsia="宋体" w:hint="default"/>
                <w:sz w:val="18"/>
                <w:szCs w:val="18"/>
                <w:shd w:fill="D3D3D3" w:color="auto" w:val="clear"/>
              </w:rPr>
              <w:t>前期差错更正</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9" w:space="0" w:color="000000"/>
              <w:left w:val="single" w:sz="4" w:space="0" w:color="000000"/>
              <w:bottom w:val="single" w:sz="4" w:space="0" w:color="000000"/>
              <w:right w:val="single" w:sz="4" w:space="0" w:color="000000"/>
            </w:tcBorders>
          </w:tcPr>
          <w:p>
            <w:pPr>
              <w:pStyle w:val="TableParagraph"/>
              <w:tabs>
                <w:tab w:pos="3935" w:val="left" w:leader="none"/>
              </w:tabs>
              <w:spacing w:line="20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宋体" w:hAnsi="宋体" w:cs="宋体" w:eastAsia="宋体" w:hint="default"/>
                <w:sz w:val="18"/>
                <w:szCs w:val="18"/>
                <w:shd w:fill="D3D3D3" w:color="auto" w:val="clear"/>
              </w:rPr>
              <w:t>同一控制下企业合并</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4" w:space="0" w:color="000000"/>
              <w:left w:val="single" w:sz="4" w:space="0" w:color="000000"/>
              <w:bottom w:val="single" w:sz="8" w:space="0" w:color="D3D3D3"/>
              <w:right w:val="single" w:sz="4" w:space="0" w:color="000000"/>
            </w:tcBorders>
          </w:tcPr>
          <w:p>
            <w:pPr>
              <w:pStyle w:val="TableParagraph"/>
              <w:tabs>
                <w:tab w:pos="3935" w:val="left" w:leader="none"/>
              </w:tabs>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宋体" w:hAnsi="宋体" w:cs="宋体" w:eastAsia="宋体" w:hint="default"/>
                <w:sz w:val="18"/>
                <w:szCs w:val="18"/>
                <w:shd w:fill="D3D3D3" w:color="auto" w:val="clear"/>
              </w:rPr>
              <w:t>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70" w:type="dxa"/>
            <w:tcBorders>
              <w:top w:val="single" w:sz="8" w:space="0" w:color="D3D3D3"/>
              <w:left w:val="single" w:sz="4" w:space="0" w:color="000000"/>
              <w:bottom w:val="single" w:sz="9" w:space="0" w:color="D3D3D3"/>
              <w:right w:val="single" w:sz="4" w:space="0" w:color="000000"/>
            </w:tcBorders>
          </w:tcPr>
          <w:p>
            <w:pPr>
              <w:pStyle w:val="TableParagraph"/>
              <w:tabs>
                <w:tab w:pos="3935"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二、本年期初余额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621,826,786.00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z w:val="18"/>
              </w:rPr>
              <w:t>89,393,650.22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638,994,670.57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2,454,833,114.41</w:t>
            </w:r>
          </w:p>
        </w:tc>
      </w:tr>
      <w:tr>
        <w:trPr>
          <w:trHeight w:val="283" w:hRule="exact"/>
        </w:trPr>
        <w:tc>
          <w:tcPr>
            <w:tcW w:w="3970" w:type="dxa"/>
            <w:tcBorders>
              <w:top w:val="single" w:sz="9" w:space="0" w:color="D3D3D3"/>
              <w:left w:val="single" w:sz="4" w:space="0" w:color="000000"/>
              <w:bottom w:val="single" w:sz="20" w:space="0" w:color="D3D3D3"/>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三、本期增减变动金额（减少以“－”号填列）</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206,195,452.46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206,195,452.46</w:t>
            </w:r>
          </w:p>
        </w:tc>
      </w:tr>
      <w:tr>
        <w:trPr>
          <w:trHeight w:val="283" w:hRule="exact"/>
        </w:trPr>
        <w:tc>
          <w:tcPr>
            <w:tcW w:w="3970" w:type="dxa"/>
            <w:tcBorders>
              <w:top w:val="single" w:sz="20" w:space="0" w:color="D3D3D3"/>
              <w:left w:val="single" w:sz="4" w:space="0" w:color="000000"/>
              <w:bottom w:val="single" w:sz="14" w:space="0" w:color="D3D3D3"/>
              <w:right w:val="single" w:sz="4" w:space="0" w:color="000000"/>
            </w:tcBorders>
          </w:tcPr>
          <w:p>
            <w:pPr>
              <w:pStyle w:val="TableParagraph"/>
              <w:tabs>
                <w:tab w:pos="3935"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（一）综合收益总额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228,581,216.75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228,581,216.75</w:t>
            </w:r>
          </w:p>
        </w:tc>
      </w:tr>
      <w:tr>
        <w:trPr>
          <w:trHeight w:val="257" w:hRule="exact"/>
        </w:trPr>
        <w:tc>
          <w:tcPr>
            <w:tcW w:w="3970" w:type="dxa"/>
            <w:tcBorders>
              <w:top w:val="single" w:sz="14" w:space="0" w:color="D3D3D3"/>
              <w:left w:val="single" w:sz="4" w:space="0" w:color="000000"/>
              <w:bottom w:val="single" w:sz="9" w:space="0" w:color="000000"/>
              <w:right w:val="single" w:sz="4" w:space="0" w:color="000000"/>
            </w:tcBorders>
          </w:tcPr>
          <w:p>
            <w:pPr>
              <w:pStyle w:val="TableParagraph"/>
              <w:tabs>
                <w:tab w:pos="3935" w:val="left" w:leader="none"/>
              </w:tabs>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（二）所有者投入和减少资本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9" w:space="0" w:color="000000"/>
              <w:left w:val="single" w:sz="4" w:space="0" w:color="000000"/>
              <w:bottom w:val="single" w:sz="4" w:space="0" w:color="000000"/>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1．股东投入的普通股</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4" w:space="0" w:color="000000"/>
              <w:left w:val="single" w:sz="4" w:space="0" w:color="000000"/>
              <w:bottom w:val="single" w:sz="9" w:space="0" w:color="000000"/>
              <w:right w:val="single" w:sz="4" w:space="0" w:color="000000"/>
            </w:tcBorders>
          </w:tcPr>
          <w:p>
            <w:pPr>
              <w:pStyle w:val="TableParagraph"/>
              <w:tabs>
                <w:tab w:pos="3935" w:val="left" w:leader="none"/>
              </w:tabs>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2．其他权益工具持有者投入资本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9" w:space="0" w:color="000000"/>
              <w:left w:val="single" w:sz="4" w:space="0" w:color="000000"/>
              <w:bottom w:val="single" w:sz="9" w:space="0" w:color="000000"/>
              <w:right w:val="single" w:sz="4" w:space="0" w:color="000000"/>
            </w:tcBorders>
          </w:tcPr>
          <w:p>
            <w:pPr>
              <w:pStyle w:val="TableParagraph"/>
              <w:tabs>
                <w:tab w:pos="3935"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3．股份支付计入所有者权益的金额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70" w:type="dxa"/>
            <w:tcBorders>
              <w:top w:val="single" w:sz="9" w:space="0" w:color="000000"/>
              <w:left w:val="single" w:sz="4" w:space="0" w:color="000000"/>
              <w:bottom w:val="single" w:sz="14" w:space="0" w:color="D3D3D3"/>
              <w:right w:val="single" w:sz="4" w:space="0" w:color="000000"/>
            </w:tcBorders>
          </w:tcPr>
          <w:p>
            <w:pPr>
              <w:pStyle w:val="TableParagraph"/>
              <w:tabs>
                <w:tab w:pos="3935"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14" w:space="0" w:color="D3D3D3"/>
              <w:left w:val="single" w:sz="4" w:space="0" w:color="000000"/>
              <w:bottom w:val="single" w:sz="20" w:space="0" w:color="D3D3D3"/>
              <w:right w:val="single" w:sz="4" w:space="0" w:color="000000"/>
            </w:tcBorders>
          </w:tcPr>
          <w:p>
            <w:pPr>
              <w:pStyle w:val="TableParagraph"/>
              <w:tabs>
                <w:tab w:pos="3935" w:val="left" w:leader="none"/>
              </w:tabs>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（三）利润分配</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-22,385,764.29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-22,385,764.29</w:t>
            </w:r>
          </w:p>
        </w:tc>
      </w:tr>
      <w:tr>
        <w:trPr>
          <w:trHeight w:val="283" w:hRule="exact"/>
        </w:trPr>
        <w:tc>
          <w:tcPr>
            <w:tcW w:w="3970" w:type="dxa"/>
            <w:tcBorders>
              <w:top w:val="single" w:sz="20" w:space="0" w:color="D3D3D3"/>
              <w:left w:val="single" w:sz="4" w:space="0" w:color="000000"/>
              <w:bottom w:val="single" w:sz="20" w:space="0" w:color="D3D3D3"/>
              <w:right w:val="single" w:sz="4" w:space="0" w:color="000000"/>
            </w:tcBorders>
          </w:tcPr>
          <w:p>
            <w:pPr>
              <w:pStyle w:val="TableParagraph"/>
              <w:tabs>
                <w:tab w:pos="3935"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1．提取盈余公积</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70" w:type="dxa"/>
            <w:tcBorders>
              <w:top w:val="single" w:sz="20" w:space="0" w:color="D3D3D3"/>
              <w:left w:val="single" w:sz="4" w:space="0" w:color="000000"/>
              <w:bottom w:val="single" w:sz="20" w:space="0" w:color="D3D3D3"/>
              <w:right w:val="single" w:sz="4" w:space="0" w:color="000000"/>
            </w:tcBorders>
          </w:tcPr>
          <w:p>
            <w:pPr>
              <w:pStyle w:val="TableParagraph"/>
              <w:tabs>
                <w:tab w:pos="3935"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2．提取一般风险准备</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20" w:space="0" w:color="D3D3D3"/>
              <w:left w:val="single" w:sz="4" w:space="0" w:color="000000"/>
              <w:bottom w:val="single" w:sz="14" w:space="0" w:color="D3D3D3"/>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3．对所有者（或股东）的分配</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8"/>
              <w:jc w:val="right"/>
              <w:rPr>
                <w:rFonts w:ascii="宋体" w:hAnsi="宋体" w:cs="宋体" w:eastAsia="宋体" w:hint="default"/>
                <w:sz w:val="18"/>
                <w:szCs w:val="18"/>
              </w:rPr>
            </w:pPr>
            <w:r>
              <w:rPr>
                <w:rFonts w:ascii="宋体"/>
                <w:sz w:val="18"/>
              </w:rPr>
              <w:t>-22,385,764.29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8"/>
              <w:jc w:val="right"/>
              <w:rPr>
                <w:rFonts w:ascii="宋体" w:hAnsi="宋体" w:cs="宋体" w:eastAsia="宋体" w:hint="default"/>
                <w:sz w:val="18"/>
                <w:szCs w:val="18"/>
              </w:rPr>
            </w:pPr>
            <w:r>
              <w:rPr>
                <w:rFonts w:ascii="宋体"/>
                <w:sz w:val="18"/>
              </w:rPr>
              <w:t>-22,385,764.29</w:t>
            </w:r>
          </w:p>
        </w:tc>
      </w:tr>
      <w:tr>
        <w:trPr>
          <w:trHeight w:val="254" w:hRule="exact"/>
        </w:trPr>
        <w:tc>
          <w:tcPr>
            <w:tcW w:w="3970" w:type="dxa"/>
            <w:tcBorders>
              <w:top w:val="single" w:sz="14" w:space="0" w:color="D3D3D3"/>
              <w:left w:val="single" w:sz="4" w:space="0" w:color="000000"/>
              <w:bottom w:val="single" w:sz="9" w:space="0" w:color="000000"/>
              <w:right w:val="single" w:sz="4" w:space="0" w:color="000000"/>
            </w:tcBorders>
          </w:tcPr>
          <w:p>
            <w:pPr>
              <w:pStyle w:val="TableParagraph"/>
              <w:tabs>
                <w:tab w:pos="3935" w:val="left" w:leader="none"/>
              </w:tabs>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9" w:space="0" w:color="000000"/>
              <w:left w:val="single" w:sz="4" w:space="0" w:color="000000"/>
              <w:bottom w:val="single" w:sz="4" w:space="0" w:color="000000"/>
              <w:right w:val="single" w:sz="4" w:space="0" w:color="000000"/>
            </w:tcBorders>
          </w:tcPr>
          <w:p>
            <w:pPr>
              <w:pStyle w:val="TableParagraph"/>
              <w:tabs>
                <w:tab w:pos="3935"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（四）所有者权益内部结转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70" w:type="dxa"/>
            <w:tcBorders>
              <w:top w:val="single" w:sz="4" w:space="0" w:color="000000"/>
              <w:left w:val="single" w:sz="4" w:space="0" w:color="000000"/>
              <w:bottom w:val="single" w:sz="9" w:space="0" w:color="000000"/>
              <w:right w:val="single" w:sz="4" w:space="0" w:color="000000"/>
            </w:tcBorders>
          </w:tcPr>
          <w:p>
            <w:pPr>
              <w:pStyle w:val="TableParagraph"/>
              <w:tabs>
                <w:tab w:pos="3935" w:val="left" w:leader="none"/>
              </w:tabs>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1．资本公积转增资本（或股本）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9" w:space="0" w:color="000000"/>
              <w:left w:val="single" w:sz="4" w:space="0" w:color="000000"/>
              <w:bottom w:val="single" w:sz="4" w:space="0" w:color="000000"/>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2．盈余公积转增资本（或股本）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4" w:space="0" w:color="000000"/>
              <w:left w:val="single" w:sz="4" w:space="0" w:color="000000"/>
              <w:bottom w:val="single" w:sz="9" w:space="0" w:color="000000"/>
              <w:right w:val="single" w:sz="4" w:space="0" w:color="000000"/>
            </w:tcBorders>
          </w:tcPr>
          <w:p>
            <w:pPr>
              <w:pStyle w:val="TableParagraph"/>
              <w:tabs>
                <w:tab w:pos="3935" w:val="left" w:leader="none"/>
              </w:tabs>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3．盈余公积弥补亏损</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9" w:space="0" w:color="000000"/>
              <w:left w:val="single" w:sz="4" w:space="0" w:color="000000"/>
              <w:bottom w:val="single" w:sz="4" w:space="0" w:color="000000"/>
              <w:right w:val="single" w:sz="4" w:space="0" w:color="000000"/>
            </w:tcBorders>
          </w:tcPr>
          <w:p>
            <w:pPr>
              <w:pStyle w:val="TableParagraph"/>
              <w:tabs>
                <w:tab w:pos="3935"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70" w:type="dxa"/>
            <w:tcBorders>
              <w:top w:val="single" w:sz="4" w:space="0" w:color="000000"/>
              <w:left w:val="single" w:sz="4" w:space="0" w:color="000000"/>
              <w:bottom w:val="single" w:sz="7" w:space="0" w:color="000000"/>
              <w:right w:val="single" w:sz="4" w:space="0" w:color="000000"/>
            </w:tcBorders>
          </w:tcPr>
          <w:p>
            <w:pPr>
              <w:pStyle w:val="TableParagraph"/>
              <w:tabs>
                <w:tab w:pos="3935" w:val="left" w:leader="none"/>
              </w:tabs>
              <w:spacing w:line="21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（五）专项储备</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6"/>
          <w:footerReference w:type="default" r:id="rId57"/>
          <w:pgSz w:w="16840" w:h="11910" w:orient="landscape"/>
          <w:pgMar w:header="884" w:footer="1000" w:top="1140" w:bottom="1200" w:left="900" w:right="820"/>
          <w:pgNumType w:start="72"/>
        </w:sectPr>
      </w:pPr>
    </w:p>
    <w:p>
      <w:pPr>
        <w:spacing w:line="240" w:lineRule="auto" w:before="10"/>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970"/>
        <w:gridCol w:w="1416"/>
        <w:gridCol w:w="286"/>
        <w:gridCol w:w="283"/>
        <w:gridCol w:w="283"/>
        <w:gridCol w:w="1558"/>
        <w:gridCol w:w="427"/>
        <w:gridCol w:w="425"/>
        <w:gridCol w:w="1560"/>
        <w:gridCol w:w="425"/>
        <w:gridCol w:w="1418"/>
        <w:gridCol w:w="1274"/>
        <w:gridCol w:w="1560"/>
      </w:tblGrid>
      <w:tr>
        <w:trPr>
          <w:trHeight w:val="254" w:hRule="exact"/>
        </w:trPr>
        <w:tc>
          <w:tcPr>
            <w:tcW w:w="3970" w:type="dxa"/>
            <w:tcBorders>
              <w:top w:val="single" w:sz="7" w:space="0" w:color="000000"/>
              <w:left w:val="single" w:sz="4" w:space="0" w:color="000000"/>
              <w:bottom w:val="single" w:sz="4" w:space="0" w:color="000000"/>
              <w:right w:val="single" w:sz="4" w:space="0" w:color="000000"/>
            </w:tcBorders>
          </w:tcPr>
          <w:p>
            <w:pPr>
              <w:pStyle w:val="TableParagraph"/>
              <w:tabs>
                <w:tab w:pos="3911" w:val="left" w:leader="none"/>
              </w:tabs>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1．本期提取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tabs>
                <w:tab w:pos="3911" w:val="left" w:leader="none"/>
              </w:tabs>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2．本期使用</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970" w:type="dxa"/>
            <w:tcBorders>
              <w:top w:val="single" w:sz="4" w:space="0" w:color="000000"/>
              <w:left w:val="single" w:sz="4" w:space="0" w:color="000000"/>
              <w:bottom w:val="single" w:sz="14" w:space="0" w:color="D3D3D3"/>
              <w:right w:val="single" w:sz="4" w:space="0" w:color="000000"/>
            </w:tcBorders>
          </w:tcPr>
          <w:p>
            <w:pPr>
              <w:pStyle w:val="TableParagraph"/>
              <w:tabs>
                <w:tab w:pos="3911" w:val="left" w:leader="none"/>
              </w:tabs>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14" w:space="0" w:color="D3D3D3"/>
              <w:left w:val="single" w:sz="4" w:space="0" w:color="000000"/>
              <w:bottom w:val="single" w:sz="8" w:space="0" w:color="D3D3D3"/>
              <w:right w:val="single" w:sz="4" w:space="0" w:color="000000"/>
            </w:tcBorders>
          </w:tcPr>
          <w:p>
            <w:pPr>
              <w:pStyle w:val="TableParagraph"/>
              <w:tabs>
                <w:tab w:pos="3911" w:val="left" w:leader="none"/>
              </w:tabs>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四、本期期末余额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4" w:right="0"/>
              <w:jc w:val="left"/>
              <w:rPr>
                <w:rFonts w:ascii="宋体" w:hAnsi="宋体" w:cs="宋体" w:eastAsia="宋体" w:hint="default"/>
                <w:sz w:val="18"/>
                <w:szCs w:val="18"/>
              </w:rPr>
            </w:pPr>
            <w:r>
              <w:rPr>
                <w:rFonts w:ascii="宋体"/>
                <w:sz w:val="18"/>
              </w:rPr>
              <w:t>621,826,786.00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6" w:right="0"/>
              <w:jc w:val="left"/>
              <w:rPr>
                <w:rFonts w:ascii="宋体" w:hAnsi="宋体" w:cs="宋体" w:eastAsia="宋体" w:hint="default"/>
                <w:sz w:val="18"/>
                <w:szCs w:val="18"/>
              </w:rPr>
            </w:pPr>
            <w:r>
              <w:rPr>
                <w:rFonts w:ascii="宋体"/>
                <w:sz w:val="18"/>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55" w:right="0"/>
              <w:jc w:val="left"/>
              <w:rPr>
                <w:rFonts w:ascii="宋体" w:hAnsi="宋体" w:cs="宋体" w:eastAsia="宋体" w:hint="default"/>
                <w:sz w:val="18"/>
                <w:szCs w:val="18"/>
              </w:rPr>
            </w:pPr>
            <w:r>
              <w:rPr>
                <w:rFonts w:ascii="宋体"/>
                <w:sz w:val="18"/>
              </w:rPr>
              <w:t>89,393,650.22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6" w:right="0"/>
              <w:jc w:val="left"/>
              <w:rPr>
                <w:rFonts w:ascii="宋体" w:hAnsi="宋体" w:cs="宋体" w:eastAsia="宋体" w:hint="default"/>
                <w:sz w:val="18"/>
                <w:szCs w:val="18"/>
              </w:rPr>
            </w:pPr>
            <w:r>
              <w:rPr>
                <w:rFonts w:ascii="宋体"/>
                <w:sz w:val="18"/>
              </w:rPr>
              <w:t>845,190,123.03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left"/>
              <w:rPr>
                <w:rFonts w:ascii="宋体" w:hAnsi="宋体" w:cs="宋体" w:eastAsia="宋体" w:hint="default"/>
                <w:sz w:val="18"/>
                <w:szCs w:val="18"/>
              </w:rPr>
            </w:pPr>
            <w:r>
              <w:rPr>
                <w:rFonts w:ascii="宋体"/>
                <w:sz w:val="18"/>
              </w:rPr>
              <w:t>2,661,028,566.87</w:t>
            </w:r>
          </w:p>
        </w:tc>
      </w:tr>
    </w:tbl>
    <w:p>
      <w:pPr>
        <w:spacing w:line="240" w:lineRule="auto" w:before="11"/>
        <w:rPr>
          <w:rFonts w:ascii="宋体" w:hAnsi="宋体" w:cs="宋体" w:eastAsia="宋体" w:hint="default"/>
          <w:sz w:val="7"/>
          <w:szCs w:val="7"/>
        </w:rPr>
      </w:pPr>
    </w:p>
    <w:p>
      <w:pPr>
        <w:pStyle w:val="BodyText"/>
        <w:tabs>
          <w:tab w:pos="5862" w:val="left" w:leader="none"/>
          <w:tab w:pos="11742" w:val="left" w:leader="none"/>
        </w:tabs>
        <w:spacing w:line="240" w:lineRule="auto" w:before="36"/>
        <w:ind w:left="823" w:right="0"/>
        <w:jc w:val="left"/>
      </w:pPr>
      <w:r>
        <w:rPr>
          <w:spacing w:val="-2"/>
        </w:rPr>
        <w:t>法定代表人：吴鹰</w:t>
        <w:tab/>
        <w:t>主管会计工作负责人：汪强</w:t>
        <w:tab/>
        <w:t>会计机构负责人：张雷</w:t>
      </w:r>
    </w:p>
    <w:p>
      <w:pPr>
        <w:spacing w:line="240" w:lineRule="auto" w:before="9"/>
        <w:rPr>
          <w:rFonts w:ascii="宋体" w:hAnsi="宋体" w:cs="宋体" w:eastAsia="宋体" w:hint="default"/>
          <w:sz w:val="26"/>
          <w:szCs w:val="26"/>
        </w:rPr>
      </w:pPr>
    </w:p>
    <w:p>
      <w:pPr>
        <w:spacing w:before="0"/>
        <w:ind w:left="688" w:right="0" w:firstLine="0"/>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sz w:val="21"/>
          <w:szCs w:val="21"/>
        </w:rPr>
        <w:t>(上期)</w:t>
      </w:r>
    </w:p>
    <w:p>
      <w:pPr>
        <w:pStyle w:val="BodyText"/>
        <w:tabs>
          <w:tab w:pos="6914" w:val="left" w:leader="none"/>
        </w:tabs>
        <w:spacing w:line="240" w:lineRule="auto" w:before="68"/>
        <w:ind w:left="823" w:right="0"/>
        <w:jc w:val="left"/>
      </w:pPr>
      <w:r>
        <w:rPr>
          <w:spacing w:val="-2"/>
        </w:rPr>
        <w:t>编制单位：茂业通信网络股份有限公司</w:t>
        <w:tab/>
        <w:t>金额单位：人民币元</w:t>
      </w:r>
    </w:p>
    <w:p>
      <w:pPr>
        <w:spacing w:line="240" w:lineRule="auto" w:before="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3970"/>
        <w:gridCol w:w="1416"/>
        <w:gridCol w:w="286"/>
        <w:gridCol w:w="283"/>
        <w:gridCol w:w="283"/>
        <w:gridCol w:w="1558"/>
        <w:gridCol w:w="427"/>
        <w:gridCol w:w="425"/>
        <w:gridCol w:w="1560"/>
        <w:gridCol w:w="425"/>
        <w:gridCol w:w="1418"/>
        <w:gridCol w:w="1274"/>
        <w:gridCol w:w="1560"/>
      </w:tblGrid>
      <w:tr>
        <w:trPr>
          <w:trHeight w:val="323" w:hRule="exact"/>
        </w:trPr>
        <w:tc>
          <w:tcPr>
            <w:tcW w:w="3970" w:type="dxa"/>
            <w:vMerge w:val="restart"/>
            <w:tcBorders>
              <w:top w:val="single" w:sz="4" w:space="0" w:color="000000"/>
              <w:left w:val="single" w:sz="4" w:space="0" w:color="000000"/>
              <w:right w:val="single" w:sz="4" w:space="0" w:color="000000"/>
            </w:tcBorders>
            <w:shd w:val="clear" w:color="auto" w:fill="D3D3D3"/>
          </w:tcPr>
          <w:p>
            <w:pPr/>
          </w:p>
        </w:tc>
        <w:tc>
          <w:tcPr>
            <w:tcW w:w="10915"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5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3970" w:type="dxa"/>
            <w:vMerge/>
            <w:tcBorders>
              <w:left w:val="single" w:sz="4" w:space="0" w:color="000000"/>
              <w:right w:val="single" w:sz="4" w:space="0" w:color="000000"/>
            </w:tcBorders>
            <w:shd w:val="clear" w:color="auto" w:fill="D3D3D3"/>
          </w:tcPr>
          <w:p>
            <w:pPr/>
          </w:p>
        </w:tc>
        <w:tc>
          <w:tcPr>
            <w:tcW w:w="8081"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5" w:hRule="exact"/>
        </w:trPr>
        <w:tc>
          <w:tcPr>
            <w:tcW w:w="3970" w:type="dxa"/>
            <w:vMerge/>
            <w:tcBorders>
              <w:left w:val="single" w:sz="4" w:space="0" w:color="000000"/>
              <w:bottom w:val="nil" w:sz="6" w:space="0" w:color="auto"/>
              <w:right w:val="single" w:sz="4" w:space="0" w:color="000000"/>
            </w:tcBorders>
            <w:shd w:val="clear" w:color="auto" w:fill="D3D3D3"/>
          </w:tcPr>
          <w:p>
            <w:pP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5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28"/>
              <w:ind w:left="28"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28"/>
              <w:ind w:left="28"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336" w:hRule="exact"/>
        </w:trPr>
        <w:tc>
          <w:tcPr>
            <w:tcW w:w="3970" w:type="dxa"/>
            <w:tcBorders>
              <w:top w:val="nil" w:sz="6" w:space="0" w:color="auto"/>
              <w:left w:val="single" w:sz="4" w:space="0" w:color="000000"/>
              <w:bottom w:val="nil" w:sz="6" w:space="0" w:color="auto"/>
              <w:right w:val="single" w:sz="4" w:space="0" w:color="000000"/>
            </w:tcBorders>
          </w:tcPr>
          <w:p>
            <w:pPr>
              <w:pStyle w:val="TableParagraph"/>
              <w:tabs>
                <w:tab w:pos="1979" w:val="left" w:leader="none"/>
                <w:tab w:pos="3935" w:val="left" w:leader="none"/>
              </w:tabs>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416" w:type="dxa"/>
            <w:vMerge/>
            <w:tcBorders>
              <w:left w:val="single" w:sz="4" w:space="0" w:color="000000"/>
              <w:right w:val="single" w:sz="4" w:space="0" w:color="000000"/>
            </w:tcBorders>
            <w:shd w:val="clear" w:color="auto" w:fill="D3D3D3"/>
          </w:tcPr>
          <w:p>
            <w:pPr/>
          </w:p>
        </w:tc>
        <w:tc>
          <w:tcPr>
            <w:tcW w:w="852" w:type="dxa"/>
            <w:gridSpan w:val="3"/>
            <w:vMerge/>
            <w:tcBorders>
              <w:left w:val="single" w:sz="4" w:space="0" w:color="000000"/>
              <w:bottom w:val="single" w:sz="4" w:space="0" w:color="000000"/>
              <w:right w:val="single" w:sz="4" w:space="0" w:color="000000"/>
            </w:tcBorders>
            <w:shd w:val="clear" w:color="auto" w:fill="D3D3D3"/>
          </w:tcPr>
          <w:p>
            <w:pPr/>
          </w:p>
        </w:tc>
        <w:tc>
          <w:tcPr>
            <w:tcW w:w="1558" w:type="dxa"/>
            <w:vMerge/>
            <w:tcBorders>
              <w:left w:val="single" w:sz="4" w:space="0" w:color="000000"/>
              <w:right w:val="single" w:sz="4" w:space="0" w:color="000000"/>
            </w:tcBorders>
            <w:shd w:val="clear" w:color="auto" w:fill="D3D3D3"/>
          </w:tcPr>
          <w:p>
            <w:pPr/>
          </w:p>
        </w:tc>
        <w:tc>
          <w:tcPr>
            <w:tcW w:w="427"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734" w:hRule="exact"/>
        </w:trPr>
        <w:tc>
          <w:tcPr>
            <w:tcW w:w="3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ind w:left="47" w:right="4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ind w:left="47" w:right="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0"/>
              <w:ind w:left="45"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shd w:val="clear" w:color="auto" w:fill="D3D3D3"/>
          </w:tcPr>
          <w:p>
            <w:pPr/>
          </w:p>
        </w:tc>
        <w:tc>
          <w:tcPr>
            <w:tcW w:w="427"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293" w:hRule="exact"/>
        </w:trPr>
        <w:tc>
          <w:tcPr>
            <w:tcW w:w="3970" w:type="dxa"/>
            <w:tcBorders>
              <w:top w:val="single" w:sz="14" w:space="0" w:color="D3D3D3"/>
              <w:left w:val="single" w:sz="4" w:space="0" w:color="000000"/>
              <w:bottom w:val="single" w:sz="10" w:space="0" w:color="D3D3D3"/>
              <w:right w:val="single" w:sz="4" w:space="0" w:color="000000"/>
            </w:tcBorders>
          </w:tcPr>
          <w:p>
            <w:pPr>
              <w:pStyle w:val="TableParagraph"/>
              <w:tabs>
                <w:tab w:pos="3935" w:val="left" w:leader="none"/>
              </w:tabs>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一、上年期末余额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621,826,786.00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宋体" w:hAnsi="宋体" w:cs="宋体" w:eastAsia="宋体" w:hint="default"/>
                <w:sz w:val="18"/>
                <w:szCs w:val="18"/>
              </w:rPr>
            </w:pPr>
            <w:r>
              <w:rPr>
                <w:rFonts w:ascii="宋体"/>
                <w:sz w:val="18"/>
              </w:rPr>
              <w:t>85,534,014.45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438,445,838.09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2,250,424,646.16</w:t>
            </w:r>
          </w:p>
        </w:tc>
      </w:tr>
      <w:tr>
        <w:trPr>
          <w:trHeight w:val="266" w:hRule="exact"/>
        </w:trPr>
        <w:tc>
          <w:tcPr>
            <w:tcW w:w="3970" w:type="dxa"/>
            <w:tcBorders>
              <w:top w:val="single" w:sz="10" w:space="0" w:color="D3D3D3"/>
              <w:left w:val="single" w:sz="4" w:space="0" w:color="000000"/>
              <w:bottom w:val="single" w:sz="5" w:space="0" w:color="D3D3D3"/>
              <w:right w:val="single" w:sz="4" w:space="0" w:color="000000"/>
            </w:tcBorders>
          </w:tcPr>
          <w:p>
            <w:pPr>
              <w:pStyle w:val="TableParagraph"/>
              <w:tabs>
                <w:tab w:pos="3935" w:val="left" w:leader="none"/>
              </w:tabs>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加：会计政策变更</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970" w:type="dxa"/>
            <w:tcBorders>
              <w:top w:val="single" w:sz="5" w:space="0" w:color="D3D3D3"/>
              <w:left w:val="single" w:sz="4" w:space="0" w:color="000000"/>
              <w:bottom w:val="single" w:sz="12" w:space="0" w:color="D3D3D3"/>
              <w:right w:val="single" w:sz="4" w:space="0" w:color="000000"/>
            </w:tcBorders>
          </w:tcPr>
          <w:p>
            <w:pPr>
              <w:pStyle w:val="TableParagraph"/>
              <w:tabs>
                <w:tab w:pos="3935" w:val="left" w:leader="none"/>
              </w:tabs>
              <w:spacing w:line="21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前期差错更正</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3970" w:type="dxa"/>
            <w:tcBorders>
              <w:top w:val="single" w:sz="12" w:space="0" w:color="D3D3D3"/>
              <w:left w:val="single" w:sz="4" w:space="0" w:color="000000"/>
              <w:bottom w:val="single" w:sz="12" w:space="0" w:color="D3D3D3"/>
              <w:right w:val="single" w:sz="4" w:space="0" w:color="000000"/>
            </w:tcBorders>
          </w:tcPr>
          <w:p>
            <w:pPr>
              <w:pStyle w:val="TableParagraph"/>
              <w:tabs>
                <w:tab w:pos="3935"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同一控制下企业合并</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970" w:type="dxa"/>
            <w:tcBorders>
              <w:top w:val="single" w:sz="12" w:space="0" w:color="D3D3D3"/>
              <w:left w:val="single" w:sz="4" w:space="0" w:color="000000"/>
              <w:bottom w:val="single" w:sz="18" w:space="0" w:color="D3D3D3"/>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8" w:space="0" w:color="D3D3D3"/>
              <w:left w:val="single" w:sz="4" w:space="0" w:color="000000"/>
              <w:bottom w:val="single" w:sz="11" w:space="0" w:color="D3D3D3"/>
              <w:right w:val="single" w:sz="4" w:space="0" w:color="000000"/>
            </w:tcBorders>
          </w:tcPr>
          <w:p>
            <w:pPr>
              <w:pStyle w:val="TableParagraph"/>
              <w:tabs>
                <w:tab w:pos="3935" w:val="left" w:leader="none"/>
              </w:tabs>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二、本年期初余额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621,826,786.00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2"/>
              <w:jc w:val="right"/>
              <w:rPr>
                <w:rFonts w:ascii="宋体" w:hAnsi="宋体" w:cs="宋体" w:eastAsia="宋体" w:hint="default"/>
                <w:sz w:val="18"/>
                <w:szCs w:val="18"/>
              </w:rPr>
            </w:pPr>
            <w:r>
              <w:rPr>
                <w:rFonts w:ascii="宋体"/>
                <w:sz w:val="18"/>
              </w:rPr>
              <w:t>85,534,014.45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438,445,838.09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2,250,424,646.16</w:t>
            </w:r>
          </w:p>
        </w:tc>
      </w:tr>
      <w:tr>
        <w:trPr>
          <w:trHeight w:val="293" w:hRule="exact"/>
        </w:trPr>
        <w:tc>
          <w:tcPr>
            <w:tcW w:w="3970" w:type="dxa"/>
            <w:tcBorders>
              <w:top w:val="single" w:sz="11" w:space="0" w:color="D3D3D3"/>
              <w:left w:val="single" w:sz="4" w:space="0" w:color="000000"/>
              <w:bottom w:val="single" w:sz="11" w:space="0" w:color="D3D3D3"/>
              <w:right w:val="single" w:sz="4"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三、本期增减变动金额（减少以“－”号填列）</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1"/>
              <w:jc w:val="right"/>
              <w:rPr>
                <w:rFonts w:ascii="宋体" w:hAnsi="宋体" w:cs="宋体" w:eastAsia="宋体" w:hint="default"/>
                <w:sz w:val="18"/>
                <w:szCs w:val="18"/>
              </w:rPr>
            </w:pPr>
            <w:r>
              <w:rPr>
                <w:rFonts w:ascii="宋体"/>
                <w:sz w:val="18"/>
              </w:rPr>
              <w:t>3,859,635.77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200,548,832.48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204,408,468.25</w:t>
            </w:r>
          </w:p>
        </w:tc>
      </w:tr>
      <w:tr>
        <w:trPr>
          <w:trHeight w:val="293" w:hRule="exact"/>
        </w:trPr>
        <w:tc>
          <w:tcPr>
            <w:tcW w:w="3970" w:type="dxa"/>
            <w:tcBorders>
              <w:top w:val="single" w:sz="11" w:space="0" w:color="D3D3D3"/>
              <w:left w:val="single" w:sz="4" w:space="0" w:color="000000"/>
              <w:bottom w:val="single" w:sz="11" w:space="0" w:color="D3D3D3"/>
              <w:right w:val="single" w:sz="4" w:space="0" w:color="000000"/>
            </w:tcBorders>
          </w:tcPr>
          <w:p>
            <w:pPr>
              <w:pStyle w:val="TableParagraph"/>
              <w:tabs>
                <w:tab w:pos="3935"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（一）综合收益总额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219,954,137.88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219,954,137.88</w:t>
            </w:r>
          </w:p>
        </w:tc>
      </w:tr>
      <w:tr>
        <w:trPr>
          <w:trHeight w:val="293" w:hRule="exact"/>
        </w:trPr>
        <w:tc>
          <w:tcPr>
            <w:tcW w:w="3970" w:type="dxa"/>
            <w:tcBorders>
              <w:top w:val="single" w:sz="11" w:space="0" w:color="D3D3D3"/>
              <w:left w:val="single" w:sz="4" w:space="0" w:color="000000"/>
              <w:bottom w:val="single" w:sz="11" w:space="0" w:color="D3D3D3"/>
              <w:right w:val="single" w:sz="4" w:space="0" w:color="000000"/>
            </w:tcBorders>
          </w:tcPr>
          <w:p>
            <w:pPr>
              <w:pStyle w:val="TableParagraph"/>
              <w:tabs>
                <w:tab w:pos="3935"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（二）所有者投入和减少资本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1" w:space="0" w:color="D3D3D3"/>
              <w:left w:val="single" w:sz="4" w:space="0" w:color="000000"/>
              <w:bottom w:val="single" w:sz="10" w:space="0" w:color="D3D3D3"/>
              <w:right w:val="single" w:sz="4" w:space="0" w:color="000000"/>
            </w:tcBorders>
          </w:tcPr>
          <w:p>
            <w:pPr>
              <w:pStyle w:val="TableParagraph"/>
              <w:tabs>
                <w:tab w:pos="3935"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1．股东投入的普通股</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0" w:space="0" w:color="D3D3D3"/>
              <w:left w:val="single" w:sz="4" w:space="0" w:color="000000"/>
              <w:bottom w:val="single" w:sz="10" w:space="0" w:color="D3D3D3"/>
              <w:right w:val="single" w:sz="4" w:space="0" w:color="000000"/>
            </w:tcBorders>
          </w:tcPr>
          <w:p>
            <w:pPr>
              <w:pStyle w:val="TableParagraph"/>
              <w:tabs>
                <w:tab w:pos="3935" w:val="left" w:leader="none"/>
              </w:tabs>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2．其他权益工具持有者投入资本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0" w:type="dxa"/>
            <w:tcBorders>
              <w:top w:val="single" w:sz="10" w:space="0" w:color="D3D3D3"/>
              <w:left w:val="single" w:sz="4" w:space="0" w:color="000000"/>
              <w:bottom w:val="single" w:sz="11" w:space="0" w:color="D3D3D3"/>
              <w:right w:val="single" w:sz="4" w:space="0" w:color="000000"/>
            </w:tcBorders>
          </w:tcPr>
          <w:p>
            <w:pPr>
              <w:pStyle w:val="TableParagraph"/>
              <w:tabs>
                <w:tab w:pos="3935"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3．股份支付计入所有者权益的金额</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1" w:space="0" w:color="D3D3D3"/>
              <w:left w:val="single" w:sz="4" w:space="0" w:color="000000"/>
              <w:bottom w:val="single" w:sz="24" w:space="0" w:color="D3D3D3"/>
              <w:right w:val="single" w:sz="4" w:space="0" w:color="000000"/>
            </w:tcBorders>
          </w:tcPr>
          <w:p>
            <w:pPr>
              <w:pStyle w:val="TableParagraph"/>
              <w:tabs>
                <w:tab w:pos="3935"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24" w:space="0" w:color="D3D3D3"/>
              <w:left w:val="single" w:sz="4" w:space="0" w:color="000000"/>
              <w:bottom w:val="single" w:sz="24" w:space="0" w:color="D3D3D3"/>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（三）利润分配</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z w:val="18"/>
              </w:rPr>
              <w:t>3,859,635.77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-19,405,305.40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
              <w:jc w:val="right"/>
              <w:rPr>
                <w:rFonts w:ascii="宋体" w:hAnsi="宋体" w:cs="宋体" w:eastAsia="宋体" w:hint="default"/>
                <w:sz w:val="18"/>
                <w:szCs w:val="18"/>
              </w:rPr>
            </w:pPr>
            <w:r>
              <w:rPr>
                <w:rFonts w:ascii="宋体"/>
                <w:sz w:val="18"/>
              </w:rPr>
              <w:t>-15,545,669.63</w:t>
            </w:r>
          </w:p>
        </w:tc>
      </w:tr>
      <w:tr>
        <w:trPr>
          <w:trHeight w:val="293"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1"/>
              <w:jc w:val="right"/>
              <w:rPr>
                <w:rFonts w:ascii="宋体" w:hAnsi="宋体" w:cs="宋体" w:eastAsia="宋体" w:hint="default"/>
                <w:sz w:val="18"/>
                <w:szCs w:val="18"/>
              </w:rPr>
            </w:pPr>
            <w:r>
              <w:rPr>
                <w:rFonts w:ascii="宋体"/>
                <w:sz w:val="18"/>
              </w:rPr>
              <w:t>3,859,635.77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9"/>
              <w:jc w:val="right"/>
              <w:rPr>
                <w:rFonts w:ascii="宋体" w:hAnsi="宋体" w:cs="宋体" w:eastAsia="宋体" w:hint="default"/>
                <w:sz w:val="18"/>
                <w:szCs w:val="18"/>
              </w:rPr>
            </w:pPr>
            <w:r>
              <w:rPr>
                <w:rFonts w:ascii="宋体"/>
                <w:sz w:val="18"/>
              </w:rPr>
              <w:t>-3,859,635.77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1000" w:top="1140" w:bottom="1200" w:left="900" w:right="820"/>
        </w:sectPr>
      </w:pPr>
    </w:p>
    <w:p>
      <w:pPr>
        <w:spacing w:line="240" w:lineRule="auto" w:before="0"/>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970"/>
        <w:gridCol w:w="1416"/>
        <w:gridCol w:w="286"/>
        <w:gridCol w:w="283"/>
        <w:gridCol w:w="283"/>
        <w:gridCol w:w="1558"/>
        <w:gridCol w:w="427"/>
        <w:gridCol w:w="425"/>
        <w:gridCol w:w="1560"/>
        <w:gridCol w:w="425"/>
        <w:gridCol w:w="1418"/>
        <w:gridCol w:w="1274"/>
        <w:gridCol w:w="1560"/>
      </w:tblGrid>
      <w:tr>
        <w:trPr>
          <w:trHeight w:val="293" w:hRule="exact"/>
        </w:trPr>
        <w:tc>
          <w:tcPr>
            <w:tcW w:w="3970" w:type="dxa"/>
            <w:tcBorders>
              <w:top w:val="single" w:sz="14" w:space="0" w:color="D3D3D3"/>
              <w:left w:val="single" w:sz="4" w:space="0" w:color="000000"/>
              <w:bottom w:val="single" w:sz="11" w:space="0" w:color="D3D3D3"/>
              <w:right w:val="single" w:sz="4" w:space="0" w:color="000000"/>
            </w:tcBorders>
          </w:tcPr>
          <w:p>
            <w:pPr>
              <w:pStyle w:val="TableParagraph"/>
              <w:tabs>
                <w:tab w:pos="3935" w:val="left" w:leader="none"/>
              </w:tabs>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3．对所有者（或股东）的分配</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-15,545,669.63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-15,545,669.63</w:t>
            </w:r>
          </w:p>
        </w:tc>
      </w:tr>
      <w:tr>
        <w:trPr>
          <w:trHeight w:val="293" w:hRule="exact"/>
        </w:trPr>
        <w:tc>
          <w:tcPr>
            <w:tcW w:w="3970" w:type="dxa"/>
            <w:tcBorders>
              <w:top w:val="single" w:sz="11" w:space="0" w:color="D3D3D3"/>
              <w:left w:val="single" w:sz="4" w:space="0" w:color="000000"/>
              <w:bottom w:val="single" w:sz="24" w:space="0" w:color="D3D3D3"/>
              <w:right w:val="single" w:sz="4" w:space="0" w:color="000000"/>
            </w:tcBorders>
          </w:tcPr>
          <w:p>
            <w:pPr>
              <w:pStyle w:val="TableParagraph"/>
              <w:tabs>
                <w:tab w:pos="3935" w:val="left" w:leader="none"/>
              </w:tabs>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24" w:space="0" w:color="D3D3D3"/>
              <w:left w:val="single" w:sz="4" w:space="0" w:color="000000"/>
              <w:bottom w:val="single" w:sz="24" w:space="0" w:color="D3D3D3"/>
              <w:right w:val="single" w:sz="4" w:space="0" w:color="000000"/>
            </w:tcBorders>
          </w:tcPr>
          <w:p>
            <w:pPr>
              <w:pStyle w:val="TableParagraph"/>
              <w:tabs>
                <w:tab w:pos="3935"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（四）所有者权益内部结转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24" w:space="0" w:color="D3D3D3"/>
              <w:left w:val="single" w:sz="4" w:space="0" w:color="000000"/>
              <w:bottom w:val="single" w:sz="10" w:space="0" w:color="D3D3D3"/>
              <w:right w:val="single" w:sz="4" w:space="0" w:color="000000"/>
            </w:tcBorders>
          </w:tcPr>
          <w:p>
            <w:pPr>
              <w:pStyle w:val="TableParagraph"/>
              <w:tabs>
                <w:tab w:pos="3935" w:val="left" w:leader="none"/>
              </w:tabs>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1．资本公积转增资本（或股本）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970" w:type="dxa"/>
            <w:tcBorders>
              <w:top w:val="single" w:sz="10" w:space="0" w:color="D3D3D3"/>
              <w:left w:val="single" w:sz="4" w:space="0" w:color="000000"/>
              <w:bottom w:val="single" w:sz="11" w:space="0" w:color="D3D3D3"/>
              <w:right w:val="single" w:sz="4" w:space="0" w:color="000000"/>
            </w:tcBorders>
          </w:tcPr>
          <w:p>
            <w:pPr>
              <w:pStyle w:val="TableParagraph"/>
              <w:tabs>
                <w:tab w:pos="3935" w:val="left" w:leader="none"/>
              </w:tabs>
              <w:spacing w:line="225"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2．盈余公积转增资本（或股本）</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1" w:space="0" w:color="D3D3D3"/>
              <w:left w:val="single" w:sz="4" w:space="0" w:color="000000"/>
              <w:bottom w:val="single" w:sz="24" w:space="0" w:color="D3D3D3"/>
              <w:right w:val="single" w:sz="4" w:space="0" w:color="000000"/>
            </w:tcBorders>
          </w:tcPr>
          <w:p>
            <w:pPr>
              <w:pStyle w:val="TableParagraph"/>
              <w:tabs>
                <w:tab w:pos="3935" w:val="left" w:leader="none"/>
              </w:tabs>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3．盈余公积弥补亏损</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24" w:space="0" w:color="D3D3D3"/>
              <w:left w:val="single" w:sz="4" w:space="0" w:color="000000"/>
              <w:bottom w:val="single" w:sz="24" w:space="0" w:color="D3D3D3"/>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24" w:space="0" w:color="D3D3D3"/>
              <w:left w:val="single" w:sz="4" w:space="0" w:color="000000"/>
              <w:bottom w:val="single" w:sz="10" w:space="0" w:color="D3D3D3"/>
              <w:right w:val="single" w:sz="4" w:space="0" w:color="000000"/>
            </w:tcBorders>
          </w:tcPr>
          <w:p>
            <w:pPr>
              <w:pStyle w:val="TableParagraph"/>
              <w:tabs>
                <w:tab w:pos="3935" w:val="left" w:leader="none"/>
              </w:tabs>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（五）专项储备</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0" w:space="0" w:color="D3D3D3"/>
              <w:left w:val="single" w:sz="4" w:space="0" w:color="000000"/>
              <w:bottom w:val="single" w:sz="10" w:space="0" w:color="D3D3D3"/>
              <w:right w:val="single" w:sz="4" w:space="0" w:color="000000"/>
            </w:tcBorders>
          </w:tcPr>
          <w:p>
            <w:pPr>
              <w:pStyle w:val="TableParagraph"/>
              <w:tabs>
                <w:tab w:pos="3935"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1．本期提取</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10" w:space="0" w:color="D3D3D3"/>
              <w:left w:val="single" w:sz="4" w:space="0" w:color="000000"/>
              <w:bottom w:val="single" w:sz="10" w:space="0" w:color="D3D3D3"/>
              <w:right w:val="single" w:sz="4" w:space="0" w:color="000000"/>
            </w:tcBorders>
          </w:tcPr>
          <w:p>
            <w:pPr>
              <w:pStyle w:val="TableParagraph"/>
              <w:tabs>
                <w:tab w:pos="3935" w:val="left" w:leader="none"/>
              </w:tabs>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2．本期使用</w:t>
              <w:tab/>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sz w:val="18"/>
              </w:rPr>
              <w:t>621,826,786.00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6" w:right="0"/>
              <w:jc w:val="left"/>
              <w:rPr>
                <w:rFonts w:ascii="宋体" w:hAnsi="宋体" w:cs="宋体" w:eastAsia="宋体" w:hint="default"/>
                <w:sz w:val="18"/>
                <w:szCs w:val="18"/>
              </w:rPr>
            </w:pPr>
            <w:r>
              <w:rPr>
                <w:rFonts w:ascii="宋体"/>
                <w:sz w:val="18"/>
              </w:rPr>
              <w:t>1,104,618,007.62</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55" w:right="0"/>
              <w:jc w:val="left"/>
              <w:rPr>
                <w:rFonts w:ascii="宋体" w:hAnsi="宋体" w:cs="宋体" w:eastAsia="宋体" w:hint="default"/>
                <w:sz w:val="18"/>
                <w:szCs w:val="18"/>
              </w:rPr>
            </w:pPr>
            <w:r>
              <w:rPr>
                <w:rFonts w:ascii="宋体"/>
                <w:sz w:val="18"/>
              </w:rPr>
              <w:t>89,393,650.22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638,994,670.57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
              <w:jc w:val="right"/>
              <w:rPr>
                <w:rFonts w:ascii="宋体" w:hAnsi="宋体" w:cs="宋体" w:eastAsia="宋体" w:hint="default"/>
                <w:sz w:val="18"/>
                <w:szCs w:val="18"/>
              </w:rPr>
            </w:pPr>
            <w:r>
              <w:rPr>
                <w:rFonts w:ascii="宋体"/>
                <w:sz w:val="18"/>
              </w:rPr>
              <w:t>2,454,833,114.41</w:t>
            </w:r>
          </w:p>
        </w:tc>
      </w:tr>
    </w:tbl>
    <w:p>
      <w:pPr>
        <w:spacing w:line="240" w:lineRule="auto" w:before="3"/>
        <w:rPr>
          <w:rFonts w:ascii="宋体" w:hAnsi="宋体" w:cs="宋体" w:eastAsia="宋体" w:hint="default"/>
          <w:sz w:val="8"/>
          <w:szCs w:val="8"/>
        </w:rPr>
      </w:pPr>
    </w:p>
    <w:p>
      <w:pPr>
        <w:pStyle w:val="BodyText"/>
        <w:tabs>
          <w:tab w:pos="5339" w:val="left" w:leader="none"/>
          <w:tab w:pos="11742" w:val="left" w:leader="none"/>
        </w:tabs>
        <w:spacing w:line="240" w:lineRule="auto" w:before="36"/>
        <w:ind w:left="823" w:right="0"/>
        <w:jc w:val="left"/>
      </w:pPr>
      <w:r>
        <w:rPr>
          <w:spacing w:val="-2"/>
        </w:rPr>
        <w:t>法定代表人：吴鹰</w:t>
        <w:tab/>
        <w:t>主管会计工作负责人：汪强</w:t>
        <w:tab/>
        <w:t>会计机构负责人：张雷</w:t>
      </w:r>
    </w:p>
    <w:p>
      <w:pPr>
        <w:spacing w:line="240" w:lineRule="auto" w:before="9"/>
        <w:rPr>
          <w:rFonts w:ascii="宋体" w:hAnsi="宋体" w:cs="宋体" w:eastAsia="宋体" w:hint="default"/>
          <w:sz w:val="26"/>
          <w:szCs w:val="26"/>
        </w:rPr>
      </w:pPr>
    </w:p>
    <w:p>
      <w:pPr>
        <w:spacing w:before="0"/>
        <w:ind w:left="403" w:right="0" w:firstLine="0"/>
        <w:jc w:val="left"/>
        <w:rPr>
          <w:rFonts w:ascii="宋体" w:hAnsi="宋体" w:cs="宋体" w:eastAsia="宋体" w:hint="default"/>
          <w:sz w:val="21"/>
          <w:szCs w:val="21"/>
        </w:rPr>
      </w:pPr>
      <w:r>
        <w:rPr>
          <w:rFonts w:ascii="宋体" w:hAnsi="宋体" w:cs="宋体" w:eastAsia="宋体" w:hint="default"/>
          <w:b/>
          <w:bCs/>
          <w:sz w:val="21"/>
          <w:szCs w:val="21"/>
        </w:rPr>
        <w:t>8、母公司所有者权益变动表</w:t>
      </w:r>
      <w:r>
        <w:rPr>
          <w:rFonts w:ascii="宋体" w:hAnsi="宋体" w:cs="宋体" w:eastAsia="宋体" w:hint="default"/>
          <w:sz w:val="21"/>
          <w:szCs w:val="21"/>
        </w:rPr>
        <w:t>(本期)</w:t>
      </w:r>
    </w:p>
    <w:p>
      <w:pPr>
        <w:pStyle w:val="BodyText"/>
        <w:tabs>
          <w:tab w:pos="11639" w:val="left" w:leader="none"/>
        </w:tabs>
        <w:spacing w:line="240" w:lineRule="auto" w:before="37"/>
        <w:ind w:left="823" w:right="0"/>
        <w:jc w:val="left"/>
      </w:pPr>
      <w:r>
        <w:rPr/>
        <w:pict>
          <v:group style="position:absolute;margin-left:562.799988pt;margin-top:67.037354pt;width:11.3pt;height:11.65pt;mso-position-horizontal-relative:page;mso-position-vertical-relative:paragraph;z-index:-858616" coordorigin="11256,1341" coordsize="226,233">
            <v:shape style="position:absolute;left:11256;top:1341;width:226;height:233" coordorigin="11256,1341" coordsize="226,233" path="m11256,1341l11482,1341,11482,1574,11256,1574,11256,1341xe" filled="true" fillcolor="#d3d3d3" stroked="false">
              <v:path arrowok="t"/>
              <v:fill type="solid"/>
            </v:shape>
            <w10:wrap type="none"/>
          </v:group>
        </w:pict>
      </w:r>
      <w:r>
        <w:rPr>
          <w:spacing w:val="-2"/>
        </w:rPr>
        <w:t>编制单位：茂业通信网络股份有限公司</w:t>
        <w:tab/>
        <w:t>金额单位：人民币元</w:t>
      </w:r>
    </w:p>
    <w:p>
      <w:pPr>
        <w:spacing w:line="240" w:lineRule="auto" w:before="2"/>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5246"/>
        <w:gridCol w:w="1841"/>
        <w:gridCol w:w="283"/>
        <w:gridCol w:w="283"/>
        <w:gridCol w:w="286"/>
        <w:gridCol w:w="1558"/>
        <w:gridCol w:w="286"/>
        <w:gridCol w:w="425"/>
        <w:gridCol w:w="283"/>
        <w:gridCol w:w="1416"/>
        <w:gridCol w:w="1418"/>
        <w:gridCol w:w="1560"/>
      </w:tblGrid>
      <w:tr>
        <w:trPr>
          <w:trHeight w:val="323" w:hRule="exact"/>
        </w:trPr>
        <w:tc>
          <w:tcPr>
            <w:tcW w:w="5246" w:type="dxa"/>
            <w:vMerge w:val="restart"/>
            <w:tcBorders>
              <w:top w:val="single" w:sz="4" w:space="0" w:color="000000"/>
              <w:left w:val="single" w:sz="4" w:space="0" w:color="000000"/>
              <w:right w:val="single" w:sz="4" w:space="0" w:color="000000"/>
            </w:tcBorders>
            <w:shd w:val="clear" w:color="auto" w:fill="D3D3D3"/>
          </w:tcPr>
          <w:p>
            <w:pPr/>
          </w:p>
        </w:tc>
        <w:tc>
          <w:tcPr>
            <w:tcW w:w="963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5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04" w:hRule="exact"/>
        </w:trPr>
        <w:tc>
          <w:tcPr>
            <w:tcW w:w="5246" w:type="dxa"/>
            <w:vMerge/>
            <w:tcBorders>
              <w:left w:val="single" w:sz="4" w:space="0" w:color="000000"/>
              <w:bottom w:val="nil" w:sz="6" w:space="0" w:color="auto"/>
              <w:right w:val="single" w:sz="4" w:space="0" w:color="000000"/>
            </w:tcBorders>
            <w:shd w:val="clear" w:color="auto" w:fill="D3D3D3"/>
          </w:tcPr>
          <w:p>
            <w:pPr/>
          </w:p>
        </w:tc>
        <w:tc>
          <w:tcPr>
            <w:tcW w:w="18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36" w:lineRule="exact" w:before="16"/>
              <w:ind w:left="239" w:right="60"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6" w:type="dxa"/>
            <w:vMerge w:val="restart"/>
            <w:tcBorders>
              <w:top w:val="single" w:sz="4" w:space="0" w:color="000000"/>
              <w:left w:val="single" w:sz="4" w:space="0" w:color="000000"/>
              <w:right w:val="single" w:sz="4" w:space="0" w:color="000000"/>
            </w:tcBorders>
            <w:shd w:val="clear" w:color="auto" w:fill="D3D3D3"/>
          </w:tcPr>
          <w:p>
            <w:pPr>
              <w:pStyle w:val="TableParagraph"/>
              <w:spacing w:line="234" w:lineRule="exact" w:before="2"/>
              <w:ind w:left="4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47" w:right="46"/>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55"/>
              <w:ind w:left="26" w:right="2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283"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119"/>
              <w:ind w:left="47" w:right="4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69" w:hRule="exact"/>
        </w:trPr>
        <w:tc>
          <w:tcPr>
            <w:tcW w:w="5246" w:type="dxa"/>
            <w:tcBorders>
              <w:top w:val="nil" w:sz="6" w:space="0" w:color="auto"/>
              <w:left w:val="single" w:sz="4" w:space="0" w:color="000000"/>
              <w:bottom w:val="nil" w:sz="6" w:space="0" w:color="auto"/>
              <w:right w:val="single" w:sz="4" w:space="0" w:color="000000"/>
            </w:tcBorders>
          </w:tcPr>
          <w:p>
            <w:pPr>
              <w:pStyle w:val="TableParagraph"/>
              <w:tabs>
                <w:tab w:pos="2618" w:val="left" w:leader="none"/>
                <w:tab w:pos="5212" w:val="left" w:leader="none"/>
              </w:tabs>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841" w:type="dxa"/>
            <w:vMerge/>
            <w:tcBorders>
              <w:left w:val="single" w:sz="4" w:space="0" w:color="000000"/>
              <w:right w:val="single" w:sz="4" w:space="0" w:color="000000"/>
            </w:tcBorders>
            <w:shd w:val="clear" w:color="auto" w:fill="D3D3D3"/>
          </w:tcPr>
          <w:p>
            <w:pPr/>
          </w:p>
        </w:tc>
        <w:tc>
          <w:tcPr>
            <w:tcW w:w="852" w:type="dxa"/>
            <w:gridSpan w:val="3"/>
            <w:vMerge/>
            <w:tcBorders>
              <w:left w:val="single" w:sz="4" w:space="0" w:color="000000"/>
              <w:bottom w:val="single" w:sz="4" w:space="0" w:color="000000"/>
              <w:right w:val="single" w:sz="4" w:space="0" w:color="000000"/>
            </w:tcBorders>
            <w:shd w:val="clear" w:color="auto" w:fill="D3D3D3"/>
          </w:tcPr>
          <w:p>
            <w:pPr/>
          </w:p>
        </w:tc>
        <w:tc>
          <w:tcPr>
            <w:tcW w:w="1558"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283" w:type="dxa"/>
            <w:vMerge/>
            <w:tcBorders>
              <w:left w:val="single" w:sz="4" w:space="0" w:color="000000"/>
              <w:right w:val="single" w:sz="4" w:space="0" w:color="000000"/>
            </w:tcBorders>
            <w:shd w:val="clear" w:color="auto" w:fill="D3D3D3"/>
          </w:tcPr>
          <w:p>
            <w:pPr/>
          </w:p>
        </w:tc>
        <w:tc>
          <w:tcPr>
            <w:tcW w:w="1416"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667" w:hRule="exact"/>
        </w:trPr>
        <w:tc>
          <w:tcPr>
            <w:tcW w:w="5246" w:type="dxa"/>
            <w:tcBorders>
              <w:top w:val="nil" w:sz="6" w:space="0" w:color="auto"/>
              <w:left w:val="single" w:sz="4" w:space="0" w:color="000000"/>
              <w:bottom w:val="single" w:sz="4" w:space="0" w:color="000000"/>
              <w:right w:val="single" w:sz="4" w:space="0" w:color="000000"/>
            </w:tcBorders>
            <w:shd w:val="clear" w:color="auto" w:fill="D3D3D3"/>
          </w:tcPr>
          <w:p>
            <w:pPr/>
          </w:p>
        </w:tc>
        <w:tc>
          <w:tcPr>
            <w:tcW w:w="1841" w:type="dxa"/>
            <w:vMerge/>
            <w:tcBorders>
              <w:left w:val="single" w:sz="4" w:space="0" w:color="000000"/>
              <w:bottom w:val="single" w:sz="4" w:space="0" w:color="000000"/>
              <w:right w:val="single" w:sz="4" w:space="0" w:color="000000"/>
            </w:tcBorders>
            <w:shd w:val="clear" w:color="auto" w:fill="D3D3D3"/>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1" w:lineRule="exact"/>
              <w:ind w:left="4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47" w:right="43"/>
              <w:jc w:val="left"/>
              <w:rPr>
                <w:rFonts w:ascii="宋体" w:hAnsi="宋体" w:cs="宋体" w:eastAsia="宋体" w:hint="default"/>
                <w:sz w:val="18"/>
                <w:szCs w:val="18"/>
              </w:rPr>
            </w:pPr>
            <w:r>
              <w:rPr>
                <w:rFonts w:ascii="宋体" w:hAnsi="宋体" w:cs="宋体" w:eastAsia="宋体" w:hint="default"/>
                <w:sz w:val="18"/>
                <w:szCs w:val="18"/>
              </w:rPr>
              <w:t>先 股</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1" w:lineRule="exact"/>
              <w:ind w:left="4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47" w:right="43"/>
              <w:jc w:val="left"/>
              <w:rPr>
                <w:rFonts w:ascii="宋体" w:hAnsi="宋体" w:cs="宋体" w:eastAsia="宋体" w:hint="default"/>
                <w:sz w:val="18"/>
                <w:szCs w:val="18"/>
              </w:rPr>
            </w:pPr>
            <w:r>
              <w:rPr>
                <w:rFonts w:ascii="宋体" w:hAnsi="宋体" w:cs="宋体" w:eastAsia="宋体" w:hint="default"/>
                <w:sz w:val="18"/>
                <w:szCs w:val="18"/>
              </w:rPr>
              <w:t>续 债</w:t>
            </w:r>
          </w:p>
        </w:tc>
        <w:tc>
          <w:tcPr>
            <w:tcW w:w="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3"/>
              <w:ind w:left="47"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shd w:val="clear" w:color="auto" w:fill="D3D3D3"/>
          </w:tcPr>
          <w:p>
            <w:pPr/>
          </w:p>
        </w:tc>
        <w:tc>
          <w:tcPr>
            <w:tcW w:w="286"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283"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z w:val="18"/>
              </w:rPr>
              <w:t>621,826,786.00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1,142,736,251.72</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41,041,703.70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382,981,439.49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2,188,586,180.91</w:t>
            </w: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0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621,826,786.00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1,142,736,251.72</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41,041,703.70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382,981,439.49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2,188,586,180.89</w:t>
            </w: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-34,960,501.01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-34,960,501.01</w:t>
            </w: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-12,574,736.72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-12,574,736.72</w:t>
            </w: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1000" w:top="1140" w:bottom="1200" w:left="900" w:right="820"/>
        </w:sectPr>
      </w:pPr>
    </w:p>
    <w:p>
      <w:pPr>
        <w:spacing w:line="240" w:lineRule="auto" w:before="4"/>
        <w:rPr>
          <w:rFonts w:ascii="Times New Roman" w:hAnsi="Times New Roman" w:cs="Times New Roman" w:eastAsia="Times New Roman" w:hint="default"/>
          <w:sz w:val="27"/>
          <w:szCs w:val="27"/>
        </w:rPr>
      </w:pPr>
      <w:r>
        <w:rPr/>
        <w:pict>
          <v:group style="position:absolute;margin-left:562.799988pt;margin-top:461.399994pt;width:11.3pt;height:11.8pt;mso-position-horizontal-relative:page;mso-position-vertical-relative:page;z-index:-858592" coordorigin="11256,9228" coordsize="226,236">
            <v:shape style="position:absolute;left:11256;top:9228;width:226;height:236" coordorigin="11256,9228" coordsize="226,236" path="m11256,9228l11482,9228,11482,9463,11256,9463,11256,9228xe" filled="true" fillcolor="#d3d3d3" stroked="false">
              <v:path arrowok="t"/>
              <v:fill type="solid"/>
            </v:shape>
            <w10:wrap type="none"/>
          </v:group>
        </w:pict>
      </w:r>
      <w:r>
        <w:rPr/>
        <w:pict>
          <v:shape style="position:absolute;margin-left:84.409042pt;margin-top:348.448029pt;width:686.2pt;height:67.4pt;mso-position-horizontal-relative:page;mso-position-vertical-relative:page;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30"/>
                    <w:gridCol w:w="5251"/>
                    <w:gridCol w:w="4042"/>
                  </w:tblGrid>
                  <w:tr>
                    <w:trPr>
                      <w:trHeight w:val="986"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pacing w:val="-6"/>
                            <w:sz w:val="21"/>
                            <w:szCs w:val="21"/>
                          </w:rPr>
                          <w:t>法定代表人：吴鹰</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37" w:right="0"/>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t>(上期)</w:t>
                        </w:r>
                      </w:p>
                    </w:tc>
                    <w:tc>
                      <w:tcPr>
                        <w:tcW w:w="52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21" w:right="0"/>
                          <w:jc w:val="left"/>
                          <w:rPr>
                            <w:rFonts w:ascii="宋体" w:hAnsi="宋体" w:cs="宋体" w:eastAsia="宋体" w:hint="default"/>
                            <w:sz w:val="21"/>
                            <w:szCs w:val="21"/>
                          </w:rPr>
                        </w:pPr>
                        <w:r>
                          <w:rPr>
                            <w:rFonts w:ascii="宋体" w:hAnsi="宋体" w:cs="宋体" w:eastAsia="宋体" w:hint="default"/>
                            <w:spacing w:val="-5"/>
                            <w:sz w:val="21"/>
                            <w:szCs w:val="21"/>
                          </w:rPr>
                          <w:t>主管会计工作负责人：汪强</w:t>
                        </w:r>
                      </w:p>
                    </w:tc>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spacing w:val="-6"/>
                            <w:sz w:val="21"/>
                            <w:szCs w:val="21"/>
                          </w:rPr>
                          <w:t>会计机构负责人：张雷</w:t>
                        </w:r>
                      </w:p>
                    </w:tc>
                  </w:tr>
                  <w:tr>
                    <w:trPr>
                      <w:trHeight w:val="362"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编制单位：茂业通信网络股份有限公司</w:t>
                        </w:r>
                      </w:p>
                    </w:tc>
                    <w:tc>
                      <w:tcPr>
                        <w:tcW w:w="5251" w:type="dxa"/>
                        <w:tcBorders>
                          <w:top w:val="nil" w:sz="6" w:space="0" w:color="auto"/>
                          <w:left w:val="nil" w:sz="6" w:space="0" w:color="auto"/>
                          <w:bottom w:val="nil" w:sz="6" w:space="0" w:color="auto"/>
                          <w:right w:val="nil" w:sz="6" w:space="0" w:color="auto"/>
                        </w:tcBorders>
                      </w:tcPr>
                      <w:p>
                        <w:pPr/>
                      </w:p>
                    </w:tc>
                    <w:tc>
                      <w:tcPr>
                        <w:tcW w:w="4042" w:type="dxa"/>
                        <w:tcBorders>
                          <w:top w:val="nil" w:sz="6" w:space="0" w:color="auto"/>
                          <w:left w:val="nil" w:sz="6" w:space="0" w:color="auto"/>
                          <w:bottom w:val="nil" w:sz="6" w:space="0" w:color="auto"/>
                          <w:right w:val="nil" w:sz="6" w:space="0" w:color="auto"/>
                        </w:tcBorders>
                      </w:tcPr>
                      <w:p>
                        <w:pPr>
                          <w:pStyle w:val="TableParagraph"/>
                          <w:spacing w:line="262"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金额单位：人民币元</w:t>
                        </w:r>
                      </w:p>
                    </w:tc>
                  </w:tr>
                </w:tbl>
                <w:p>
                  <w:pP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5246"/>
        <w:gridCol w:w="1841"/>
        <w:gridCol w:w="283"/>
        <w:gridCol w:w="283"/>
        <w:gridCol w:w="286"/>
        <w:gridCol w:w="1558"/>
        <w:gridCol w:w="286"/>
        <w:gridCol w:w="425"/>
        <w:gridCol w:w="283"/>
        <w:gridCol w:w="1416"/>
        <w:gridCol w:w="1418"/>
        <w:gridCol w:w="1560"/>
      </w:tblGrid>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2．其他权益工具持有者投入资本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3．股份支付计入所有者权益的金额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-22,385,764.29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-22,385,764.29</w:t>
            </w: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-22,385,764.29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-22,385,764.29</w:t>
            </w: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621,826,786.00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sz w:val="18"/>
              </w:rPr>
              <w:t>1,142,736,251.72</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sz w:val="18"/>
              </w:rPr>
              <w:t>41,041,703.70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348,020,938.48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2,153,625,679.90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5246"/>
        <w:gridCol w:w="1841"/>
        <w:gridCol w:w="283"/>
        <w:gridCol w:w="283"/>
        <w:gridCol w:w="286"/>
        <w:gridCol w:w="1558"/>
        <w:gridCol w:w="286"/>
        <w:gridCol w:w="425"/>
        <w:gridCol w:w="283"/>
        <w:gridCol w:w="1416"/>
        <w:gridCol w:w="1418"/>
        <w:gridCol w:w="1560"/>
      </w:tblGrid>
      <w:tr>
        <w:trPr>
          <w:trHeight w:val="317" w:hRule="exact"/>
        </w:trPr>
        <w:tc>
          <w:tcPr>
            <w:tcW w:w="5246" w:type="dxa"/>
            <w:vMerge w:val="restart"/>
            <w:tcBorders>
              <w:top w:val="single" w:sz="4" w:space="0" w:color="000000"/>
              <w:left w:val="single" w:sz="4" w:space="0" w:color="000000"/>
              <w:right w:val="single" w:sz="4" w:space="0" w:color="000000"/>
            </w:tcBorders>
            <w:shd w:val="clear" w:color="auto" w:fill="D3D3D3"/>
          </w:tcPr>
          <w:p>
            <w:pPr/>
          </w:p>
        </w:tc>
        <w:tc>
          <w:tcPr>
            <w:tcW w:w="963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95" w:hRule="exact"/>
        </w:trPr>
        <w:tc>
          <w:tcPr>
            <w:tcW w:w="5246" w:type="dxa"/>
            <w:vMerge/>
            <w:tcBorders>
              <w:left w:val="single" w:sz="4" w:space="0" w:color="000000"/>
              <w:bottom w:val="nil" w:sz="6" w:space="0" w:color="auto"/>
              <w:right w:val="single" w:sz="4" w:space="0" w:color="000000"/>
            </w:tcBorders>
            <w:shd w:val="clear" w:color="auto" w:fill="D3D3D3"/>
          </w:tcPr>
          <w:p>
            <w:pPr/>
          </w:p>
        </w:tc>
        <w:tc>
          <w:tcPr>
            <w:tcW w:w="18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32" w:lineRule="exact" w:before="13"/>
              <w:ind w:left="239" w:right="60"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6" w:type="dxa"/>
            <w:vMerge w:val="restart"/>
            <w:tcBorders>
              <w:top w:val="single" w:sz="4" w:space="0" w:color="000000"/>
              <w:left w:val="single" w:sz="4" w:space="0" w:color="000000"/>
              <w:right w:val="single" w:sz="4" w:space="0" w:color="000000"/>
            </w:tcBorders>
            <w:shd w:val="clear" w:color="auto" w:fill="D3D3D3"/>
          </w:tcPr>
          <w:p>
            <w:pPr>
              <w:pStyle w:val="TableParagraph"/>
              <w:spacing w:line="226" w:lineRule="exact"/>
              <w:ind w:left="4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47" w:right="46"/>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45"/>
              <w:ind w:left="26" w:right="2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283"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111"/>
              <w:ind w:left="47" w:right="4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686" w:right="53" w:hanging="27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21" w:hRule="exact"/>
        </w:trPr>
        <w:tc>
          <w:tcPr>
            <w:tcW w:w="5246" w:type="dxa"/>
            <w:vMerge w:val="restart"/>
            <w:tcBorders>
              <w:top w:val="nil" w:sz="6" w:space="0" w:color="auto"/>
              <w:left w:val="single" w:sz="4" w:space="0" w:color="000000"/>
              <w:right w:val="single" w:sz="4" w:space="0" w:color="000000"/>
            </w:tcBorders>
          </w:tcPr>
          <w:p>
            <w:pPr>
              <w:pStyle w:val="TableParagraph"/>
              <w:tabs>
                <w:tab w:pos="2618" w:val="left" w:leader="none"/>
                <w:tab w:pos="5212" w:val="left" w:leader="none"/>
              </w:tabs>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841" w:type="dxa"/>
            <w:vMerge/>
            <w:tcBorders>
              <w:left w:val="single" w:sz="4" w:space="0" w:color="000000"/>
              <w:right w:val="single" w:sz="4" w:space="0" w:color="000000"/>
            </w:tcBorders>
            <w:shd w:val="clear" w:color="auto" w:fill="D3D3D3"/>
          </w:tcPr>
          <w:p>
            <w:pPr/>
          </w:p>
        </w:tc>
        <w:tc>
          <w:tcPr>
            <w:tcW w:w="852" w:type="dxa"/>
            <w:gridSpan w:val="3"/>
            <w:vMerge/>
            <w:tcBorders>
              <w:left w:val="single" w:sz="4" w:space="0" w:color="000000"/>
              <w:bottom w:val="single" w:sz="4" w:space="0" w:color="000000"/>
              <w:right w:val="single" w:sz="4" w:space="0" w:color="000000"/>
            </w:tcBorders>
            <w:shd w:val="clear" w:color="auto" w:fill="D3D3D3"/>
          </w:tcPr>
          <w:p>
            <w:pPr/>
          </w:p>
        </w:tc>
        <w:tc>
          <w:tcPr>
            <w:tcW w:w="1558"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283" w:type="dxa"/>
            <w:vMerge/>
            <w:tcBorders>
              <w:left w:val="single" w:sz="4" w:space="0" w:color="000000"/>
              <w:right w:val="single" w:sz="4" w:space="0" w:color="000000"/>
            </w:tcBorders>
            <w:shd w:val="clear" w:color="auto" w:fill="D3D3D3"/>
          </w:tcPr>
          <w:p>
            <w:pPr/>
          </w:p>
        </w:tc>
        <w:tc>
          <w:tcPr>
            <w:tcW w:w="1416"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91" w:hRule="exact"/>
        </w:trPr>
        <w:tc>
          <w:tcPr>
            <w:tcW w:w="5246" w:type="dxa"/>
            <w:vMerge/>
            <w:tcBorders>
              <w:left w:val="single" w:sz="4" w:space="0" w:color="000000"/>
              <w:bottom w:val="nil" w:sz="6" w:space="0" w:color="auto"/>
              <w:right w:val="single" w:sz="4" w:space="0" w:color="000000"/>
            </w:tcBorders>
          </w:tcPr>
          <w:p>
            <w:pPr/>
          </w:p>
        </w:tc>
        <w:tc>
          <w:tcPr>
            <w:tcW w:w="1841" w:type="dxa"/>
            <w:vMerge/>
            <w:tcBorders>
              <w:left w:val="single" w:sz="4" w:space="0" w:color="000000"/>
              <w:right w:val="single" w:sz="4" w:space="0" w:color="000000"/>
            </w:tcBorders>
            <w:shd w:val="clear" w:color="auto" w:fill="D3D3D3"/>
          </w:tcPr>
          <w:p>
            <w:pPr/>
          </w:p>
        </w:tc>
        <w:tc>
          <w:tcPr>
            <w:tcW w:w="283"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16"/>
              <w:ind w:left="47"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16"/>
              <w:ind w:left="47" w:right="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vMerge w:val="restart"/>
            <w:tcBorders>
              <w:top w:val="single" w:sz="4" w:space="0" w:color="000000"/>
              <w:left w:val="single" w:sz="4" w:space="0" w:color="000000"/>
              <w:right w:val="single" w:sz="4" w:space="0" w:color="000000"/>
            </w:tcBorders>
            <w:shd w:val="clear" w:color="auto" w:fill="D3D3D3"/>
          </w:tcPr>
          <w:p>
            <w:pPr>
              <w:pStyle w:val="TableParagraph"/>
              <w:spacing w:line="220" w:lineRule="exact" w:before="126"/>
              <w:ind w:left="47" w:right="46"/>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right w:val="single" w:sz="4" w:space="0" w:color="000000"/>
            </w:tcBorders>
            <w:shd w:val="clear" w:color="auto" w:fill="D3D3D3"/>
          </w:tcPr>
          <w:p>
            <w:pPr/>
          </w:p>
        </w:tc>
        <w:tc>
          <w:tcPr>
            <w:tcW w:w="286"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c>
          <w:tcPr>
            <w:tcW w:w="283" w:type="dxa"/>
            <w:vMerge/>
            <w:tcBorders>
              <w:left w:val="single" w:sz="4" w:space="0" w:color="000000"/>
              <w:right w:val="single" w:sz="4" w:space="0" w:color="000000"/>
            </w:tcBorders>
            <w:shd w:val="clear" w:color="auto" w:fill="D3D3D3"/>
          </w:tcPr>
          <w:p>
            <w:pPr/>
          </w:p>
        </w:tc>
        <w:tc>
          <w:tcPr>
            <w:tcW w:w="1416"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614" w:hRule="exact"/>
        </w:trPr>
        <w:tc>
          <w:tcPr>
            <w:tcW w:w="5246" w:type="dxa"/>
            <w:tcBorders>
              <w:top w:val="nil" w:sz="6" w:space="0" w:color="auto"/>
              <w:left w:val="single" w:sz="4" w:space="0" w:color="000000"/>
              <w:bottom w:val="single" w:sz="4" w:space="0" w:color="000000"/>
              <w:right w:val="single" w:sz="4" w:space="0" w:color="000000"/>
            </w:tcBorders>
            <w:shd w:val="clear" w:color="auto" w:fill="D3D3D3"/>
          </w:tcPr>
          <w:p>
            <w:pPr/>
          </w:p>
        </w:tc>
        <w:tc>
          <w:tcPr>
            <w:tcW w:w="1841" w:type="dxa"/>
            <w:vMerge/>
            <w:tcBorders>
              <w:left w:val="single" w:sz="4" w:space="0" w:color="000000"/>
              <w:bottom w:val="single" w:sz="4" w:space="0" w:color="000000"/>
              <w:right w:val="single" w:sz="4" w:space="0" w:color="000000"/>
            </w:tcBorders>
            <w:shd w:val="clear" w:color="auto" w:fill="D3D3D3"/>
          </w:tcPr>
          <w:p>
            <w:pPr/>
          </w:p>
        </w:tc>
        <w:tc>
          <w:tcPr>
            <w:tcW w:w="283" w:type="dxa"/>
            <w:vMerge/>
            <w:tcBorders>
              <w:left w:val="single" w:sz="4" w:space="0" w:color="000000"/>
              <w:bottom w:val="single" w:sz="4" w:space="0" w:color="000000"/>
              <w:right w:val="single" w:sz="4" w:space="0" w:color="000000"/>
            </w:tcBorders>
            <w:shd w:val="clear" w:color="auto" w:fill="D3D3D3"/>
          </w:tcPr>
          <w:p>
            <w:pPr/>
          </w:p>
        </w:tc>
        <w:tc>
          <w:tcPr>
            <w:tcW w:w="283" w:type="dxa"/>
            <w:vMerge/>
            <w:tcBorders>
              <w:left w:val="single" w:sz="4" w:space="0" w:color="000000"/>
              <w:bottom w:val="single" w:sz="4" w:space="0" w:color="000000"/>
              <w:right w:val="single" w:sz="4" w:space="0" w:color="000000"/>
            </w:tcBorders>
            <w:shd w:val="clear" w:color="auto" w:fill="D3D3D3"/>
          </w:tcPr>
          <w:p>
            <w:pPr/>
          </w:p>
        </w:tc>
        <w:tc>
          <w:tcPr>
            <w:tcW w:w="286" w:type="dxa"/>
            <w:vMerge/>
            <w:tcBorders>
              <w:left w:val="single" w:sz="4" w:space="0" w:color="000000"/>
              <w:bottom w:val="single" w:sz="4" w:space="0" w:color="000000"/>
              <w:right w:val="single" w:sz="4" w:space="0" w:color="000000"/>
            </w:tcBorders>
            <w:shd w:val="clear" w:color="auto" w:fill="D3D3D3"/>
          </w:tcPr>
          <w:p>
            <w:pPr/>
          </w:p>
        </w:tc>
        <w:tc>
          <w:tcPr>
            <w:tcW w:w="1558" w:type="dxa"/>
            <w:vMerge/>
            <w:tcBorders>
              <w:left w:val="single" w:sz="4" w:space="0" w:color="000000"/>
              <w:bottom w:val="single" w:sz="4" w:space="0" w:color="000000"/>
              <w:right w:val="single" w:sz="4" w:space="0" w:color="000000"/>
            </w:tcBorders>
            <w:shd w:val="clear" w:color="auto" w:fill="D3D3D3"/>
          </w:tcPr>
          <w:p>
            <w:pPr/>
          </w:p>
        </w:tc>
        <w:tc>
          <w:tcPr>
            <w:tcW w:w="286"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283"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283" w:hRule="exact"/>
        </w:trPr>
        <w:tc>
          <w:tcPr>
            <w:tcW w:w="5246" w:type="dxa"/>
            <w:tcBorders>
              <w:top w:val="single" w:sz="12" w:space="0" w:color="D3D3D3"/>
              <w:left w:val="single" w:sz="4" w:space="0" w:color="000000"/>
              <w:bottom w:val="single" w:sz="8" w:space="0" w:color="D3D3D3"/>
              <w:right w:val="single" w:sz="4" w:space="0" w:color="000000"/>
            </w:tcBorders>
          </w:tcPr>
          <w:p>
            <w:pPr>
              <w:pStyle w:val="TableParagraph"/>
              <w:tabs>
                <w:tab w:pos="5188" w:val="left" w:leader="none"/>
              </w:tabs>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一、上年期末余额</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547" w:right="0"/>
              <w:jc w:val="left"/>
              <w:rPr>
                <w:rFonts w:ascii="宋体" w:hAnsi="宋体" w:cs="宋体" w:eastAsia="宋体" w:hint="default"/>
                <w:sz w:val="18"/>
                <w:szCs w:val="18"/>
              </w:rPr>
            </w:pPr>
            <w:r>
              <w:rPr>
                <w:rFonts w:ascii="宋体"/>
                <w:sz w:val="18"/>
              </w:rPr>
              <w:t>621,826,786.00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86" w:right="0"/>
              <w:jc w:val="left"/>
              <w:rPr>
                <w:rFonts w:ascii="宋体" w:hAnsi="宋体" w:cs="宋体" w:eastAsia="宋体" w:hint="default"/>
                <w:sz w:val="18"/>
                <w:szCs w:val="18"/>
              </w:rPr>
            </w:pPr>
            <w:r>
              <w:rPr>
                <w:rFonts w:ascii="宋体"/>
                <w:sz w:val="18"/>
              </w:rPr>
              <w:t>1,142,736,251.72</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13" w:right="0"/>
              <w:jc w:val="left"/>
              <w:rPr>
                <w:rFonts w:ascii="宋体" w:hAnsi="宋体" w:cs="宋体" w:eastAsia="宋体" w:hint="default"/>
                <w:sz w:val="18"/>
                <w:szCs w:val="18"/>
              </w:rPr>
            </w:pPr>
            <w:r>
              <w:rPr>
                <w:rFonts w:ascii="宋体"/>
                <w:sz w:val="18"/>
              </w:rPr>
              <w:t>37,182,067.93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24" w:right="0"/>
              <w:jc w:val="left"/>
              <w:rPr>
                <w:rFonts w:ascii="宋体" w:hAnsi="宋体" w:cs="宋体" w:eastAsia="宋体" w:hint="default"/>
                <w:sz w:val="18"/>
                <w:szCs w:val="18"/>
              </w:rPr>
            </w:pPr>
            <w:r>
              <w:rPr>
                <w:rFonts w:ascii="宋体"/>
                <w:sz w:val="18"/>
              </w:rPr>
              <w:t>363,790,387.16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88" w:right="0"/>
              <w:jc w:val="left"/>
              <w:rPr>
                <w:rFonts w:ascii="宋体" w:hAnsi="宋体" w:cs="宋体" w:eastAsia="宋体" w:hint="default"/>
                <w:sz w:val="18"/>
                <w:szCs w:val="18"/>
              </w:rPr>
            </w:pPr>
            <w:r>
              <w:rPr>
                <w:rFonts w:ascii="宋体"/>
                <w:sz w:val="18"/>
              </w:rPr>
              <w:t>2,165,535,492.81</w:t>
            </w:r>
          </w:p>
        </w:tc>
      </w:tr>
      <w:tr>
        <w:trPr>
          <w:trHeight w:val="283" w:hRule="exact"/>
        </w:trPr>
        <w:tc>
          <w:tcPr>
            <w:tcW w:w="5246" w:type="dxa"/>
            <w:tcBorders>
              <w:top w:val="single" w:sz="8" w:space="0" w:color="D3D3D3"/>
              <w:left w:val="single" w:sz="4" w:space="0" w:color="000000"/>
              <w:bottom w:val="single" w:sz="12" w:space="0" w:color="D3D3D3"/>
              <w:right w:val="single" w:sz="4" w:space="0" w:color="000000"/>
            </w:tcBorders>
          </w:tcPr>
          <w:p>
            <w:pPr>
              <w:pStyle w:val="TableParagraph"/>
              <w:tabs>
                <w:tab w:pos="5188" w:val="left" w:leader="none"/>
              </w:tabs>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加：会计政策变更</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1000" w:top="1140" w:bottom="1200" w:left="900" w:right="820"/>
        </w:sectPr>
      </w:pPr>
    </w:p>
    <w:p>
      <w:pPr>
        <w:spacing w:line="240" w:lineRule="auto" w:before="5"/>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5246"/>
        <w:gridCol w:w="1841"/>
        <w:gridCol w:w="283"/>
        <w:gridCol w:w="283"/>
        <w:gridCol w:w="286"/>
        <w:gridCol w:w="1558"/>
        <w:gridCol w:w="286"/>
        <w:gridCol w:w="425"/>
        <w:gridCol w:w="283"/>
        <w:gridCol w:w="1416"/>
        <w:gridCol w:w="1418"/>
        <w:gridCol w:w="1560"/>
      </w:tblGrid>
      <w:tr>
        <w:trPr>
          <w:trHeight w:val="283" w:hRule="exact"/>
        </w:trPr>
        <w:tc>
          <w:tcPr>
            <w:tcW w:w="5246" w:type="dxa"/>
            <w:tcBorders>
              <w:top w:val="single" w:sz="12" w:space="0" w:color="D3D3D3"/>
              <w:left w:val="single" w:sz="4" w:space="0" w:color="000000"/>
              <w:bottom w:val="single" w:sz="19" w:space="0" w:color="D3D3D3"/>
              <w:right w:val="single" w:sz="4" w:space="0" w:color="000000"/>
            </w:tcBorders>
          </w:tcPr>
          <w:p>
            <w:pPr>
              <w:pStyle w:val="TableParagraph"/>
              <w:tabs>
                <w:tab w:pos="5188" w:val="left" w:leader="none"/>
              </w:tabs>
              <w:spacing w:line="21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宋体" w:hAnsi="宋体" w:cs="宋体" w:eastAsia="宋体" w:hint="default"/>
                <w:sz w:val="18"/>
                <w:szCs w:val="18"/>
                <w:shd w:fill="D3D3D3" w:color="auto" w:val="clear"/>
              </w:rPr>
              <w:t>前期差错更正</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19" w:space="0" w:color="D3D3D3"/>
              <w:left w:val="single" w:sz="4" w:space="0" w:color="000000"/>
              <w:bottom w:val="single" w:sz="8" w:space="0" w:color="D3D3D3"/>
              <w:right w:val="single" w:sz="4" w:space="0" w:color="000000"/>
            </w:tcBorders>
          </w:tcPr>
          <w:p>
            <w:pPr>
              <w:pStyle w:val="TableParagraph"/>
              <w:tabs>
                <w:tab w:pos="5188" w:val="left" w:leader="none"/>
              </w:tabs>
              <w:spacing w:line="20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r>
            <w:r>
              <w:rPr>
                <w:rFonts w:ascii="宋体" w:hAnsi="宋体" w:cs="宋体" w:eastAsia="宋体" w:hint="default"/>
                <w:sz w:val="18"/>
                <w:szCs w:val="18"/>
                <w:shd w:fill="D3D3D3" w:color="auto" w:val="clear"/>
              </w:rPr>
              <w:t>其他</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8" w:space="0" w:color="D3D3D3"/>
              <w:left w:val="single" w:sz="4" w:space="0" w:color="000000"/>
              <w:bottom w:val="single" w:sz="19" w:space="0" w:color="D3D3D3"/>
              <w:right w:val="single" w:sz="4" w:space="0" w:color="000000"/>
            </w:tcBorders>
          </w:tcPr>
          <w:p>
            <w:pPr>
              <w:pStyle w:val="TableParagraph"/>
              <w:tabs>
                <w:tab w:pos="5188" w:val="left" w:leader="none"/>
              </w:tabs>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二、本年期初余额</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2"/>
              <w:jc w:val="right"/>
              <w:rPr>
                <w:rFonts w:ascii="宋体" w:hAnsi="宋体" w:cs="宋体" w:eastAsia="宋体" w:hint="default"/>
                <w:sz w:val="18"/>
                <w:szCs w:val="18"/>
              </w:rPr>
            </w:pPr>
            <w:r>
              <w:rPr>
                <w:rFonts w:ascii="宋体"/>
                <w:sz w:val="18"/>
              </w:rPr>
              <w:t>621,826,786.00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1,142,736,251.72</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9"/>
              <w:jc w:val="right"/>
              <w:rPr>
                <w:rFonts w:ascii="宋体" w:hAnsi="宋体" w:cs="宋体" w:eastAsia="宋体" w:hint="default"/>
                <w:sz w:val="18"/>
                <w:szCs w:val="18"/>
              </w:rPr>
            </w:pPr>
            <w:r>
              <w:rPr>
                <w:rFonts w:ascii="宋体"/>
                <w:sz w:val="18"/>
              </w:rPr>
              <w:t>37,182,067.93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z w:val="18"/>
              </w:rPr>
              <w:t>363,790,387.16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2,165,535,492.81</w:t>
            </w:r>
          </w:p>
        </w:tc>
      </w:tr>
      <w:tr>
        <w:trPr>
          <w:trHeight w:val="283" w:hRule="exact"/>
        </w:trPr>
        <w:tc>
          <w:tcPr>
            <w:tcW w:w="5246" w:type="dxa"/>
            <w:tcBorders>
              <w:top w:val="single" w:sz="19" w:space="0" w:color="D3D3D3"/>
              <w:left w:val="single" w:sz="4" w:space="0" w:color="000000"/>
              <w:bottom w:val="single" w:sz="8" w:space="0" w:color="D3D3D3"/>
              <w:right w:val="single" w:sz="4" w:space="0" w:color="000000"/>
            </w:tcBorders>
          </w:tcPr>
          <w:p>
            <w:pPr>
              <w:pStyle w:val="TableParagraph"/>
              <w:tabs>
                <w:tab w:pos="5188"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三、本期增减变动金额（减少以“－”号填列）</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8"/>
              <w:jc w:val="right"/>
              <w:rPr>
                <w:rFonts w:ascii="宋体" w:hAnsi="宋体" w:cs="宋体" w:eastAsia="宋体" w:hint="default"/>
                <w:sz w:val="18"/>
                <w:szCs w:val="18"/>
              </w:rPr>
            </w:pPr>
            <w:r>
              <w:rPr>
                <w:rFonts w:ascii="宋体"/>
                <w:sz w:val="18"/>
              </w:rPr>
              <w:t>3,859,635.77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z w:val="18"/>
              </w:rPr>
              <w:t>19,191,052.33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9"/>
              <w:jc w:val="right"/>
              <w:rPr>
                <w:rFonts w:ascii="宋体" w:hAnsi="宋体" w:cs="宋体" w:eastAsia="宋体" w:hint="default"/>
                <w:sz w:val="18"/>
                <w:szCs w:val="18"/>
              </w:rPr>
            </w:pPr>
            <w:r>
              <w:rPr>
                <w:rFonts w:ascii="宋体"/>
                <w:sz w:val="18"/>
              </w:rPr>
              <w:t>23,050,688.10</w:t>
            </w:r>
          </w:p>
        </w:tc>
      </w:tr>
      <w:tr>
        <w:trPr>
          <w:trHeight w:val="283" w:hRule="exact"/>
        </w:trPr>
        <w:tc>
          <w:tcPr>
            <w:tcW w:w="5246" w:type="dxa"/>
            <w:tcBorders>
              <w:top w:val="single" w:sz="8" w:space="0" w:color="D3D3D3"/>
              <w:left w:val="single" w:sz="4" w:space="0" w:color="000000"/>
              <w:bottom w:val="single" w:sz="19" w:space="0" w:color="D3D3D3"/>
              <w:right w:val="single" w:sz="4" w:space="0" w:color="000000"/>
            </w:tcBorders>
          </w:tcPr>
          <w:p>
            <w:pPr>
              <w:pStyle w:val="TableParagraph"/>
              <w:tabs>
                <w:tab w:pos="5188" w:val="left" w:leader="none"/>
              </w:tabs>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（一）综合收益总额</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1"/>
              <w:jc w:val="right"/>
              <w:rPr>
                <w:rFonts w:ascii="宋体" w:hAnsi="宋体" w:cs="宋体" w:eastAsia="宋体" w:hint="default"/>
                <w:sz w:val="18"/>
                <w:szCs w:val="18"/>
              </w:rPr>
            </w:pPr>
            <w:r>
              <w:rPr>
                <w:rFonts w:ascii="宋体"/>
                <w:sz w:val="18"/>
              </w:rPr>
              <w:t>38,596,357.73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8"/>
              <w:jc w:val="right"/>
              <w:rPr>
                <w:rFonts w:ascii="宋体" w:hAnsi="宋体" w:cs="宋体" w:eastAsia="宋体" w:hint="default"/>
                <w:sz w:val="18"/>
                <w:szCs w:val="18"/>
              </w:rPr>
            </w:pPr>
            <w:r>
              <w:rPr>
                <w:rFonts w:ascii="宋体"/>
                <w:sz w:val="18"/>
              </w:rPr>
              <w:t>38,596,357.73</w:t>
            </w:r>
          </w:p>
        </w:tc>
      </w:tr>
      <w:tr>
        <w:trPr>
          <w:trHeight w:val="283" w:hRule="exact"/>
        </w:trPr>
        <w:tc>
          <w:tcPr>
            <w:tcW w:w="5246" w:type="dxa"/>
            <w:tcBorders>
              <w:top w:val="single" w:sz="19" w:space="0" w:color="D3D3D3"/>
              <w:left w:val="single" w:sz="4" w:space="0" w:color="000000"/>
              <w:bottom w:val="single" w:sz="20" w:space="0" w:color="D3D3D3"/>
              <w:right w:val="single" w:sz="4" w:space="0" w:color="000000"/>
            </w:tcBorders>
          </w:tcPr>
          <w:p>
            <w:pPr>
              <w:pStyle w:val="TableParagraph"/>
              <w:tabs>
                <w:tab w:pos="5188"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（二）所有者投入和减少资本</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20" w:space="0" w:color="D3D3D3"/>
              <w:left w:val="single" w:sz="4" w:space="0" w:color="000000"/>
              <w:bottom w:val="single" w:sz="9" w:space="0" w:color="D3D3D3"/>
              <w:right w:val="single" w:sz="4" w:space="0" w:color="000000"/>
            </w:tcBorders>
          </w:tcPr>
          <w:p>
            <w:pPr>
              <w:pStyle w:val="TableParagraph"/>
              <w:tabs>
                <w:tab w:pos="5188" w:val="left" w:leader="none"/>
              </w:tabs>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1．股东投入的普通股</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6" w:type="dxa"/>
            <w:tcBorders>
              <w:top w:val="single" w:sz="9" w:space="0" w:color="D3D3D3"/>
              <w:left w:val="single" w:sz="4" w:space="0" w:color="000000"/>
              <w:bottom w:val="single" w:sz="8" w:space="0" w:color="D3D3D3"/>
              <w:right w:val="single" w:sz="4" w:space="0" w:color="000000"/>
            </w:tcBorders>
          </w:tcPr>
          <w:p>
            <w:pPr>
              <w:pStyle w:val="TableParagraph"/>
              <w:tabs>
                <w:tab w:pos="5188" w:val="left" w:leader="none"/>
              </w:tabs>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2．其他权益工具持有者投入资本</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8" w:space="0" w:color="D3D3D3"/>
              <w:left w:val="single" w:sz="4" w:space="0" w:color="000000"/>
              <w:bottom w:val="single" w:sz="8" w:space="0" w:color="D3D3D3"/>
              <w:right w:val="single" w:sz="4" w:space="0" w:color="000000"/>
            </w:tcBorders>
          </w:tcPr>
          <w:p>
            <w:pPr>
              <w:pStyle w:val="TableParagraph"/>
              <w:tabs>
                <w:tab w:pos="5188" w:val="left" w:leader="none"/>
              </w:tabs>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3．股份支付计入所有者权益的金额</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8" w:space="0" w:color="D3D3D3"/>
              <w:left w:val="single" w:sz="4" w:space="0" w:color="000000"/>
              <w:bottom w:val="single" w:sz="20" w:space="0" w:color="D3D3D3"/>
              <w:right w:val="single" w:sz="4" w:space="0" w:color="000000"/>
            </w:tcBorders>
          </w:tcPr>
          <w:p>
            <w:pPr>
              <w:pStyle w:val="TableParagraph"/>
              <w:tabs>
                <w:tab w:pos="5188" w:val="left" w:leader="none"/>
              </w:tabs>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20" w:space="0" w:color="D3D3D3"/>
              <w:left w:val="single" w:sz="4" w:space="0" w:color="000000"/>
              <w:bottom w:val="single" w:sz="9" w:space="0" w:color="D3D3D3"/>
              <w:right w:val="single" w:sz="4" w:space="0" w:color="000000"/>
            </w:tcBorders>
          </w:tcPr>
          <w:p>
            <w:pPr>
              <w:pStyle w:val="TableParagraph"/>
              <w:tabs>
                <w:tab w:pos="5188" w:val="left" w:leader="none"/>
              </w:tabs>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（三）利润分配</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3,859,635.77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z w:val="18"/>
              </w:rPr>
              <w:t>-19,405,305.40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-15,545,669.63</w:t>
            </w:r>
          </w:p>
        </w:tc>
      </w:tr>
      <w:tr>
        <w:trPr>
          <w:trHeight w:val="283" w:hRule="exact"/>
        </w:trPr>
        <w:tc>
          <w:tcPr>
            <w:tcW w:w="5246" w:type="dxa"/>
            <w:tcBorders>
              <w:top w:val="single" w:sz="9" w:space="0" w:color="D3D3D3"/>
              <w:left w:val="single" w:sz="4" w:space="0" w:color="000000"/>
              <w:bottom w:val="single" w:sz="20" w:space="0" w:color="D3D3D3"/>
              <w:right w:val="single" w:sz="4" w:space="0" w:color="000000"/>
            </w:tcBorders>
          </w:tcPr>
          <w:p>
            <w:pPr>
              <w:pStyle w:val="TableParagraph"/>
              <w:tabs>
                <w:tab w:pos="5188" w:val="left" w:leader="none"/>
              </w:tabs>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1．提取盈余公积</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3,859,635.77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z w:val="18"/>
              </w:rPr>
              <w:t>-3,859,635.77</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20" w:space="0" w:color="D3D3D3"/>
              <w:left w:val="single" w:sz="4" w:space="0" w:color="000000"/>
              <w:bottom w:val="single" w:sz="19" w:space="0" w:color="D3D3D3"/>
              <w:right w:val="single" w:sz="4" w:space="0" w:color="000000"/>
            </w:tcBorders>
          </w:tcPr>
          <w:p>
            <w:pPr>
              <w:pStyle w:val="TableParagraph"/>
              <w:tabs>
                <w:tab w:pos="5188" w:val="left" w:leader="none"/>
              </w:tabs>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2．提取一般风险准备</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z w:val="18"/>
              </w:rPr>
              <w:t>-15,545,669.63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-15,545,669.63</w:t>
            </w:r>
          </w:p>
        </w:tc>
      </w:tr>
      <w:tr>
        <w:trPr>
          <w:trHeight w:val="283" w:hRule="exact"/>
        </w:trPr>
        <w:tc>
          <w:tcPr>
            <w:tcW w:w="5246" w:type="dxa"/>
            <w:tcBorders>
              <w:top w:val="single" w:sz="19" w:space="0" w:color="D3D3D3"/>
              <w:left w:val="single" w:sz="4" w:space="0" w:color="000000"/>
              <w:bottom w:val="single" w:sz="8" w:space="0" w:color="D3D3D3"/>
              <w:right w:val="single" w:sz="4" w:space="0" w:color="000000"/>
            </w:tcBorders>
          </w:tcPr>
          <w:p>
            <w:pPr>
              <w:pStyle w:val="TableParagraph"/>
              <w:tabs>
                <w:tab w:pos="5188"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3．对所有者（或股东）的分配</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8" w:space="0" w:color="D3D3D3"/>
              <w:left w:val="single" w:sz="4" w:space="0" w:color="000000"/>
              <w:bottom w:val="single" w:sz="19" w:space="0" w:color="D3D3D3"/>
              <w:right w:val="single" w:sz="4" w:space="0" w:color="000000"/>
            </w:tcBorders>
          </w:tcPr>
          <w:p>
            <w:pPr>
              <w:pStyle w:val="TableParagraph"/>
              <w:tabs>
                <w:tab w:pos="5188" w:val="left" w:leader="none"/>
              </w:tabs>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19" w:space="0" w:color="D3D3D3"/>
              <w:left w:val="single" w:sz="4" w:space="0" w:color="000000"/>
              <w:bottom w:val="single" w:sz="8" w:space="0" w:color="D3D3D3"/>
              <w:right w:val="single" w:sz="4" w:space="0" w:color="000000"/>
            </w:tcBorders>
          </w:tcPr>
          <w:p>
            <w:pPr>
              <w:pStyle w:val="TableParagraph"/>
              <w:tabs>
                <w:tab w:pos="5188"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（四）所有者权益内部结转</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8" w:space="0" w:color="D3D3D3"/>
              <w:left w:val="single" w:sz="4" w:space="0" w:color="000000"/>
              <w:bottom w:val="single" w:sz="20" w:space="0" w:color="D3D3D3"/>
              <w:right w:val="single" w:sz="4" w:space="0" w:color="000000"/>
            </w:tcBorders>
          </w:tcPr>
          <w:p>
            <w:pPr>
              <w:pStyle w:val="TableParagraph"/>
              <w:tabs>
                <w:tab w:pos="5188" w:val="left" w:leader="none"/>
              </w:tabs>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1．资本公积转增资本（或股本）</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20" w:space="0" w:color="D3D3D3"/>
              <w:left w:val="single" w:sz="4" w:space="0" w:color="000000"/>
              <w:bottom w:val="single" w:sz="9" w:space="0" w:color="D3D3D3"/>
              <w:right w:val="single" w:sz="4" w:space="0" w:color="000000"/>
            </w:tcBorders>
          </w:tcPr>
          <w:p>
            <w:pPr>
              <w:pStyle w:val="TableParagraph"/>
              <w:tabs>
                <w:tab w:pos="5188" w:val="left" w:leader="none"/>
              </w:tabs>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2．盈余公积转增资本（或股本）</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9" w:space="0" w:color="D3D3D3"/>
              <w:left w:val="single" w:sz="4" w:space="0" w:color="000000"/>
              <w:bottom w:val="single" w:sz="9" w:space="0" w:color="D3D3D3"/>
              <w:right w:val="single" w:sz="4" w:space="0" w:color="000000"/>
            </w:tcBorders>
          </w:tcPr>
          <w:p>
            <w:pPr>
              <w:pStyle w:val="TableParagraph"/>
              <w:tabs>
                <w:tab w:pos="5188" w:val="left" w:leader="none"/>
              </w:tabs>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3．盈余公积弥补亏损</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6" w:type="dxa"/>
            <w:tcBorders>
              <w:top w:val="single" w:sz="9" w:space="0" w:color="D3D3D3"/>
              <w:left w:val="single" w:sz="4" w:space="0" w:color="000000"/>
              <w:bottom w:val="single" w:sz="20" w:space="0" w:color="D3D3D3"/>
              <w:right w:val="single" w:sz="4" w:space="0" w:color="000000"/>
            </w:tcBorders>
          </w:tcPr>
          <w:p>
            <w:pPr>
              <w:pStyle w:val="TableParagraph"/>
              <w:tabs>
                <w:tab w:pos="5188" w:val="left" w:leader="none"/>
              </w:tabs>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4．其他</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20" w:space="0" w:color="D3D3D3"/>
              <w:left w:val="single" w:sz="4" w:space="0" w:color="000000"/>
              <w:bottom w:val="single" w:sz="8" w:space="0" w:color="D3D3D3"/>
              <w:right w:val="single" w:sz="4" w:space="0" w:color="000000"/>
            </w:tcBorders>
          </w:tcPr>
          <w:p>
            <w:pPr>
              <w:pStyle w:val="TableParagraph"/>
              <w:tabs>
                <w:tab w:pos="5188" w:val="left" w:leader="none"/>
              </w:tabs>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（五）专项储备</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8" w:space="0" w:color="D3D3D3"/>
              <w:left w:val="single" w:sz="4" w:space="0" w:color="000000"/>
              <w:bottom w:val="single" w:sz="20" w:space="0" w:color="D3D3D3"/>
              <w:right w:val="single" w:sz="4" w:space="0" w:color="000000"/>
            </w:tcBorders>
          </w:tcPr>
          <w:p>
            <w:pPr>
              <w:pStyle w:val="TableParagraph"/>
              <w:tabs>
                <w:tab w:pos="5188" w:val="left" w:leader="none"/>
              </w:tabs>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1．本期提取</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20" w:space="0" w:color="D3D3D3"/>
              <w:left w:val="single" w:sz="4" w:space="0" w:color="000000"/>
              <w:bottom w:val="single" w:sz="9" w:space="0" w:color="D3D3D3"/>
              <w:right w:val="single" w:sz="4" w:space="0" w:color="000000"/>
            </w:tcBorders>
          </w:tcPr>
          <w:p>
            <w:pPr>
              <w:pStyle w:val="TableParagraph"/>
              <w:tabs>
                <w:tab w:pos="5188" w:val="left" w:leader="none"/>
              </w:tabs>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2．本期使用</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9" w:space="0" w:color="D3D3D3"/>
              <w:left w:val="single" w:sz="4" w:space="0" w:color="000000"/>
              <w:bottom w:val="single" w:sz="9" w:space="0" w:color="D3D3D3"/>
              <w:right w:val="single" w:sz="4" w:space="0" w:color="000000"/>
            </w:tcBorders>
          </w:tcPr>
          <w:p>
            <w:pPr>
              <w:pStyle w:val="TableParagraph"/>
              <w:tabs>
                <w:tab w:pos="5188" w:val="left" w:leader="none"/>
              </w:tabs>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（六）其他</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6" w:type="dxa"/>
            <w:tcBorders>
              <w:top w:val="single" w:sz="9" w:space="0" w:color="D3D3D3"/>
              <w:left w:val="single" w:sz="4" w:space="0" w:color="000000"/>
              <w:bottom w:val="single" w:sz="12" w:space="0" w:color="D3D3D3"/>
              <w:right w:val="single" w:sz="4" w:space="0" w:color="000000"/>
            </w:tcBorders>
          </w:tcPr>
          <w:p>
            <w:pPr>
              <w:pStyle w:val="TableParagraph"/>
              <w:tabs>
                <w:tab w:pos="5188" w:val="left" w:leader="none"/>
              </w:tabs>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四、本期期末余额</w:t>
              <w:tab/>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2"/>
              <w:jc w:val="right"/>
              <w:rPr>
                <w:rFonts w:ascii="宋体" w:hAnsi="宋体" w:cs="宋体" w:eastAsia="宋体" w:hint="default"/>
                <w:sz w:val="18"/>
                <w:szCs w:val="18"/>
              </w:rPr>
            </w:pPr>
            <w:r>
              <w:rPr>
                <w:rFonts w:ascii="宋体"/>
                <w:sz w:val="18"/>
              </w:rPr>
              <w:t>621,826,786.00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z w:val="18"/>
              </w:rPr>
              <w:t>1,142,736,251.72</w:t>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宋体" w:hAnsi="宋体" w:cs="宋体" w:eastAsia="宋体" w:hint="default"/>
                <w:sz w:val="18"/>
                <w:szCs w:val="18"/>
              </w:rPr>
            </w:pPr>
            <w:r>
              <w:rPr>
                <w:rFonts w:ascii="宋体"/>
                <w:sz w:val="18"/>
              </w:rPr>
              <w:t>41,041,703.70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宋体" w:hAnsi="宋体" w:cs="宋体" w:eastAsia="宋体" w:hint="default"/>
                <w:sz w:val="18"/>
                <w:szCs w:val="18"/>
              </w:rPr>
            </w:pPr>
            <w:r>
              <w:rPr>
                <w:rFonts w:ascii="宋体"/>
                <w:spacing w:val="-1"/>
                <w:sz w:val="18"/>
              </w:rPr>
              <w:t>382,981,439.49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8"/>
              <w:jc w:val="right"/>
              <w:rPr>
                <w:rFonts w:ascii="宋体" w:hAnsi="宋体" w:cs="宋体" w:eastAsia="宋体" w:hint="default"/>
                <w:sz w:val="18"/>
                <w:szCs w:val="18"/>
              </w:rPr>
            </w:pPr>
            <w:r>
              <w:rPr>
                <w:rFonts w:ascii="宋体"/>
                <w:spacing w:val="-1"/>
                <w:sz w:val="18"/>
              </w:rPr>
              <w:t>2,188,586,180.91</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tabs>
          <w:tab w:pos="3659" w:val="left" w:leader="none"/>
          <w:tab w:pos="7230" w:val="left" w:leader="none"/>
        </w:tabs>
        <w:spacing w:line="240" w:lineRule="auto" w:before="0"/>
        <w:ind w:left="823" w:right="0"/>
        <w:jc w:val="left"/>
      </w:pPr>
      <w:r>
        <w:rPr>
          <w:spacing w:val="-2"/>
        </w:rPr>
        <w:t>法定代表人：吴鹰</w:t>
        <w:tab/>
        <w:t>主管会计工作负责人：汪强</w:t>
        <w:tab/>
        <w:t>会计机构负责人：张雷</w:t>
      </w:r>
    </w:p>
    <w:p>
      <w:pPr>
        <w:spacing w:after="0" w:line="240" w:lineRule="auto"/>
        <w:jc w:val="left"/>
        <w:sectPr>
          <w:pgSz w:w="16840" w:h="11910" w:orient="landscape"/>
          <w:pgMar w:header="884" w:footer="1000" w:top="1140" w:bottom="1200" w:left="900" w:right="820"/>
        </w:sectPr>
      </w:pPr>
    </w:p>
    <w:p>
      <w:pPr>
        <w:pStyle w:val="Heading2"/>
        <w:spacing w:line="240" w:lineRule="auto" w:before="131"/>
        <w:ind w:left="153" w:right="0"/>
        <w:jc w:val="both"/>
        <w:rPr>
          <w:b w:val="0"/>
          <w:bCs w:val="0"/>
        </w:rPr>
      </w:pPr>
      <w:bookmarkStart w:name="_TOC_250001" w:id="3"/>
      <w:r>
        <w:rPr/>
        <w:t>财务报表附注</w:t>
      </w:r>
      <w:bookmarkEnd w:id="3"/>
      <w:r>
        <w:rPr>
          <w:b w:val="0"/>
          <w:bCs w:val="0"/>
        </w:rPr>
      </w:r>
    </w:p>
    <w:p>
      <w:pPr>
        <w:spacing w:line="240" w:lineRule="auto" w:before="9"/>
        <w:rPr>
          <w:rFonts w:ascii="宋体" w:hAnsi="宋体" w:cs="宋体" w:eastAsia="宋体" w:hint="default"/>
          <w:b/>
          <w:bCs/>
          <w:sz w:val="26"/>
          <w:szCs w:val="26"/>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公司基本情况</w:t>
      </w:r>
      <w:r>
        <w:rPr>
          <w:rFonts w:ascii="宋体" w:hAnsi="宋体" w:cs="宋体" w:eastAsia="宋体" w:hint="default"/>
          <w:sz w:val="21"/>
          <w:szCs w:val="21"/>
        </w:rPr>
      </w:r>
    </w:p>
    <w:p>
      <w:pPr>
        <w:pStyle w:val="BodyText"/>
        <w:spacing w:line="273" w:lineRule="auto" w:before="130"/>
        <w:ind w:right="0"/>
        <w:jc w:val="left"/>
      </w:pPr>
      <w:r>
        <w:rPr/>
        <w:t>(一)</w:t>
      </w:r>
      <w:r>
        <w:rPr>
          <w:spacing w:val="-3"/>
        </w:rPr>
        <w:t> </w:t>
      </w:r>
      <w:r>
        <w:rPr/>
        <w:t>公司注册地、组织形式和总部地址</w:t>
      </w:r>
      <w:r>
        <w:rPr>
          <w:w w:val="100"/>
        </w:rPr>
        <w:t> </w:t>
      </w:r>
      <w:r>
        <w:rPr>
          <w:spacing w:val="-5"/>
          <w:w w:val="100"/>
        </w:rPr>
        <w:t>茂业通信网络股份有限公司(原“茂业物流股份有限公司”、“秦皇岛渤海物流控股股份有限公</w:t>
      </w:r>
    </w:p>
    <w:p>
      <w:pPr>
        <w:pStyle w:val="BodyText"/>
        <w:spacing w:line="273" w:lineRule="auto"/>
        <w:ind w:left="153" w:right="130"/>
        <w:jc w:val="both"/>
      </w:pPr>
      <w:r>
        <w:rPr>
          <w:spacing w:val="-8"/>
          <w:w w:val="100"/>
        </w:rPr>
        <w:t>司”、“秦皇岛华联商城股份有限公司”，以下简称“本公司”)系经河北省人民政府冀股办(1997)18</w:t>
      </w:r>
      <w:r>
        <w:rPr>
          <w:w w:val="100"/>
        </w:rPr>
        <w:t> </w:t>
      </w:r>
      <w:r>
        <w:rPr/>
        <w:t>号批复批准，由秦皇岛华联商厦股份有限公司和秦皇岛商城股份有限公司合并设立。</w:t>
      </w:r>
    </w:p>
    <w:p>
      <w:pPr>
        <w:pStyle w:val="BodyText"/>
        <w:spacing w:line="273" w:lineRule="auto"/>
        <w:ind w:left="153" w:right="128" w:firstLine="420"/>
        <w:jc w:val="left"/>
      </w:pPr>
      <w:r>
        <w:rPr/>
        <w:t>经中国证券监督管理委员会证监发字(1997)477</w:t>
      </w:r>
      <w:r>
        <w:rPr>
          <w:spacing w:val="-50"/>
        </w:rPr>
        <w:t> </w:t>
      </w:r>
      <w:r>
        <w:rPr>
          <w:spacing w:val="-9"/>
        </w:rPr>
        <w:t>号批复批准，本公司于</w:t>
      </w:r>
      <w:r>
        <w:rPr>
          <w:spacing w:val="-50"/>
        </w:rPr>
        <w:t> </w:t>
      </w:r>
      <w:r>
        <w:rPr/>
        <w:t>1997</w:t>
      </w:r>
      <w:r>
        <w:rPr>
          <w:spacing w:val="-52"/>
        </w:rPr>
        <w:t> </w:t>
      </w:r>
      <w:r>
        <w:rPr/>
        <w:t>年</w:t>
      </w:r>
      <w:r>
        <w:rPr>
          <w:spacing w:val="-50"/>
        </w:rPr>
        <w:t> </w:t>
      </w:r>
      <w:r>
        <w:rPr/>
        <w:t>10</w:t>
      </w:r>
      <w:r>
        <w:rPr>
          <w:spacing w:val="-52"/>
        </w:rPr>
        <w:t> </w:t>
      </w:r>
      <w:r>
        <w:rPr/>
        <w:t>月</w:t>
      </w:r>
      <w:r>
        <w:rPr>
          <w:spacing w:val="-50"/>
        </w:rPr>
        <w:t> </w:t>
      </w:r>
      <w:r>
        <w:rPr/>
        <w:t>30</w:t>
      </w:r>
      <w:r>
        <w:rPr>
          <w:spacing w:val="-52"/>
        </w:rPr>
        <w:t> </w:t>
      </w:r>
      <w:r>
        <w:rPr/>
        <w:t>日在深</w:t>
      </w:r>
      <w:r>
        <w:rPr>
          <w:w w:val="100"/>
        </w:rPr>
        <w:t> </w:t>
      </w:r>
      <w:r>
        <w:rPr/>
        <w:t>圳证券交易所上网发行人民币普通股</w:t>
      </w:r>
      <w:r>
        <w:rPr>
          <w:spacing w:val="-33"/>
        </w:rPr>
        <w:t> </w:t>
      </w:r>
      <w:r>
        <w:rPr/>
        <w:t>3,000</w:t>
      </w:r>
      <w:r>
        <w:rPr>
          <w:spacing w:val="-33"/>
        </w:rPr>
        <w:t> </w:t>
      </w:r>
      <w:r>
        <w:rPr/>
        <w:t>万股，发行后股本</w:t>
      </w:r>
      <w:r>
        <w:rPr>
          <w:spacing w:val="-34"/>
        </w:rPr>
        <w:t> </w:t>
      </w:r>
      <w:r>
        <w:rPr/>
        <w:t>11,005</w:t>
      </w:r>
      <w:r>
        <w:rPr>
          <w:spacing w:val="-31"/>
        </w:rPr>
        <w:t> </w:t>
      </w:r>
      <w:r>
        <w:rPr/>
        <w:t>万股。后经送股、转增和配</w:t>
      </w:r>
    </w:p>
    <w:p>
      <w:pPr>
        <w:pStyle w:val="BodyText"/>
        <w:spacing w:line="273" w:lineRule="auto"/>
        <w:ind w:left="153" w:right="116"/>
        <w:jc w:val="both"/>
      </w:pPr>
      <w:r>
        <w:rPr>
          <w:spacing w:val="-4"/>
        </w:rPr>
        <w:t>股，本公司总股本增至</w:t>
      </w:r>
      <w:r>
        <w:rPr>
          <w:spacing w:val="-44"/>
        </w:rPr>
        <w:t> </w:t>
      </w:r>
      <w:r>
        <w:rPr/>
        <w:t>338,707,568.00</w:t>
      </w:r>
      <w:r>
        <w:rPr>
          <w:spacing w:val="-44"/>
        </w:rPr>
        <w:t> </w:t>
      </w:r>
      <w:r>
        <w:rPr>
          <w:spacing w:val="-5"/>
        </w:rPr>
        <w:t>元。2012</w:t>
      </w:r>
      <w:r>
        <w:rPr>
          <w:spacing w:val="-46"/>
        </w:rPr>
        <w:t> </w:t>
      </w:r>
      <w:r>
        <w:rPr/>
        <w:t>年</w:t>
      </w:r>
      <w:r>
        <w:rPr>
          <w:spacing w:val="-44"/>
        </w:rPr>
        <w:t> </w:t>
      </w:r>
      <w:r>
        <w:rPr/>
        <w:t>10</w:t>
      </w:r>
      <w:r>
        <w:rPr>
          <w:spacing w:val="-44"/>
        </w:rPr>
        <w:t> </w:t>
      </w:r>
      <w:r>
        <w:rPr>
          <w:spacing w:val="-3"/>
        </w:rPr>
        <w:t>月，根据与原控股股东中兆投资管理有限公</w:t>
      </w:r>
      <w:r>
        <w:rPr>
          <w:spacing w:val="-99"/>
        </w:rPr>
        <w:t> </w:t>
      </w:r>
      <w:r>
        <w:rPr>
          <w:spacing w:val="-99"/>
        </w:rPr>
      </w:r>
      <w:r>
        <w:rPr>
          <w:spacing w:val="-2"/>
        </w:rPr>
        <w:t>司(以下简称“中兆投资”)签订的《非公开发行股份购买资产协议》以及《非公开发行股份购买资</w:t>
      </w:r>
      <w:r>
        <w:rPr>
          <w:spacing w:val="-41"/>
        </w:rPr>
        <w:t> </w:t>
      </w:r>
      <w:r>
        <w:rPr>
          <w:spacing w:val="-41"/>
        </w:rPr>
      </w:r>
      <w:r>
        <w:rPr>
          <w:spacing w:val="-8"/>
          <w:w w:val="100"/>
        </w:rPr>
        <w:t>产之补偿协议》，公司向中兆投资增发</w:t>
      </w:r>
      <w:r>
        <w:rPr>
          <w:spacing w:val="-49"/>
          <w:w w:val="100"/>
        </w:rPr>
        <w:t> </w:t>
      </w:r>
      <w:r>
        <w:rPr>
          <w:spacing w:val="-1"/>
          <w:w w:val="100"/>
        </w:rPr>
        <w:t>106,813,996</w:t>
      </w:r>
      <w:r>
        <w:rPr>
          <w:spacing w:val="-51"/>
          <w:w w:val="100"/>
        </w:rPr>
        <w:t> </w:t>
      </w:r>
      <w:r>
        <w:rPr>
          <w:spacing w:val="-2"/>
          <w:w w:val="100"/>
        </w:rPr>
        <w:t>股，本公司总股本增加至</w:t>
      </w:r>
      <w:r>
        <w:rPr>
          <w:spacing w:val="-51"/>
          <w:w w:val="100"/>
        </w:rPr>
        <w:t> </w:t>
      </w:r>
      <w:r>
        <w:rPr>
          <w:spacing w:val="-1"/>
          <w:w w:val="100"/>
        </w:rPr>
        <w:t>445,521,564.00</w:t>
      </w:r>
      <w:r>
        <w:rPr>
          <w:spacing w:val="-49"/>
          <w:w w:val="100"/>
        </w:rPr>
        <w:t> </w:t>
      </w:r>
      <w:r>
        <w:rPr>
          <w:w w:val="100"/>
        </w:rPr>
        <w:t>元。</w:t>
      </w:r>
      <w:r>
        <w:rPr>
          <w:spacing w:val="-104"/>
          <w:w w:val="100"/>
        </w:rPr>
        <w:t> </w:t>
      </w:r>
      <w:r>
        <w:rPr>
          <w:spacing w:val="-104"/>
          <w:w w:val="100"/>
        </w:rPr>
      </w:r>
      <w:r>
        <w:rPr/>
        <w:t>2014</w:t>
      </w:r>
      <w:r>
        <w:rPr>
          <w:spacing w:val="-40"/>
        </w:rPr>
        <w:t> </w:t>
      </w:r>
      <w:r>
        <w:rPr/>
        <w:t>年</w:t>
      </w:r>
      <w:r>
        <w:rPr>
          <w:spacing w:val="-37"/>
        </w:rPr>
        <w:t> </w:t>
      </w:r>
      <w:r>
        <w:rPr/>
        <w:t>12</w:t>
      </w:r>
      <w:r>
        <w:rPr>
          <w:spacing w:val="-40"/>
        </w:rPr>
        <w:t> </w:t>
      </w:r>
      <w:r>
        <w:rPr>
          <w:spacing w:val="-6"/>
        </w:rPr>
        <w:t>月，根据本公司股东大会决议及中国证券监督管理委员会证监许可【2014】1225</w:t>
      </w:r>
      <w:r>
        <w:rPr>
          <w:spacing w:val="-40"/>
        </w:rPr>
        <w:t> </w:t>
      </w:r>
      <w:r>
        <w:rPr>
          <w:spacing w:val="-16"/>
        </w:rPr>
        <w:t>号文《关</w:t>
      </w:r>
      <w:r>
        <w:rPr>
          <w:spacing w:val="-95"/>
        </w:rPr>
        <w:t> </w:t>
      </w:r>
      <w:r>
        <w:rPr>
          <w:spacing w:val="-95"/>
        </w:rPr>
      </w:r>
      <w:r>
        <w:rPr>
          <w:spacing w:val="-2"/>
        </w:rPr>
        <w:t>于核准茂业物流股份有限公司向孝昌鹰溪谷投资中心（有限合伙）等发行股份购买资产并募集配套</w:t>
      </w:r>
      <w:r>
        <w:rPr>
          <w:spacing w:val="-43"/>
        </w:rPr>
        <w:t> </w:t>
      </w:r>
      <w:r>
        <w:rPr>
          <w:spacing w:val="-43"/>
        </w:rPr>
      </w:r>
      <w:r>
        <w:rPr/>
        <w:t>资金的批复》核准，本公司向孝昌鹰溪谷投资中心(有限合伙)发行</w:t>
      </w:r>
      <w:r>
        <w:rPr>
          <w:spacing w:val="-56"/>
        </w:rPr>
        <w:t> </w:t>
      </w:r>
      <w:r>
        <w:rPr/>
        <w:t>148,360,844</w:t>
      </w:r>
      <w:r>
        <w:rPr>
          <w:spacing w:val="-54"/>
        </w:rPr>
        <w:t> </w:t>
      </w:r>
      <w:r>
        <w:rPr>
          <w:spacing w:val="-3"/>
        </w:rPr>
        <w:t>股股份、向北京博</w:t>
      </w:r>
      <w:r>
        <w:rPr>
          <w:w w:val="100"/>
        </w:rPr>
        <w:t> </w:t>
      </w:r>
      <w:r>
        <w:rPr/>
        <w:t>升优势科技发展有限公司发行 1,498,595</w:t>
      </w:r>
      <w:r>
        <w:rPr>
          <w:spacing w:val="-21"/>
        </w:rPr>
        <w:t> </w:t>
      </w:r>
      <w:r>
        <w:rPr/>
        <w:t>股股份购买资产，向特定对象上海峰幽投资管理中心(普</w:t>
      </w:r>
      <w:r>
        <w:rPr>
          <w:w w:val="100"/>
        </w:rPr>
        <w:t> </w:t>
      </w:r>
      <w:r>
        <w:rPr/>
        <w:t>通合伙)非公开发行</w:t>
      </w:r>
      <w:r>
        <w:rPr>
          <w:spacing w:val="-57"/>
        </w:rPr>
        <w:t> </w:t>
      </w:r>
      <w:r>
        <w:rPr/>
        <w:t>26,445,784</w:t>
      </w:r>
      <w:r>
        <w:rPr>
          <w:spacing w:val="-57"/>
        </w:rPr>
        <w:t> </w:t>
      </w:r>
      <w:r>
        <w:rPr/>
        <w:t>股新股募集发行股份购买资产的配套资金。本次股份发行完成后，</w:t>
      </w:r>
      <w:r>
        <w:rPr>
          <w:w w:val="100"/>
        </w:rPr>
        <w:t> </w:t>
      </w:r>
      <w:r>
        <w:rPr/>
        <w:t>本公司总股本变更为</w:t>
      </w:r>
      <w:r>
        <w:rPr>
          <w:spacing w:val="-56"/>
        </w:rPr>
        <w:t> </w:t>
      </w:r>
      <w:r>
        <w:rPr/>
        <w:t>621,826,786</w:t>
      </w:r>
      <w:r>
        <w:rPr>
          <w:spacing w:val="-56"/>
        </w:rPr>
        <w:t> </w:t>
      </w:r>
      <w:r>
        <w:rPr/>
        <w:t>股。</w:t>
      </w:r>
    </w:p>
    <w:p>
      <w:pPr>
        <w:pStyle w:val="BodyText"/>
        <w:spacing w:line="273" w:lineRule="auto"/>
        <w:ind w:left="153" w:right="0" w:firstLine="420"/>
        <w:jc w:val="left"/>
      </w:pPr>
      <w:r>
        <w:rPr/>
        <w:t>本公司在</w:t>
      </w:r>
      <w:r>
        <w:rPr>
          <w:spacing w:val="-41"/>
        </w:rPr>
        <w:t> </w:t>
      </w:r>
      <w:r>
        <w:rPr/>
        <w:t>2015</w:t>
      </w:r>
      <w:r>
        <w:rPr>
          <w:spacing w:val="-44"/>
        </w:rPr>
        <w:t> </w:t>
      </w:r>
      <w:r>
        <w:rPr>
          <w:spacing w:val="-3"/>
        </w:rPr>
        <w:t>年度已彻底完成转型，2015</w:t>
      </w:r>
      <w:r>
        <w:rPr>
          <w:spacing w:val="-41"/>
        </w:rPr>
        <w:t> </w:t>
      </w:r>
      <w:r>
        <w:rPr/>
        <w:t>年</w:t>
      </w:r>
      <w:r>
        <w:rPr>
          <w:spacing w:val="-44"/>
        </w:rPr>
        <w:t> </w:t>
      </w:r>
      <w:r>
        <w:rPr/>
        <w:t>11</w:t>
      </w:r>
      <w:r>
        <w:rPr>
          <w:spacing w:val="-41"/>
        </w:rPr>
        <w:t> </w:t>
      </w:r>
      <w:r>
        <w:rPr>
          <w:spacing w:val="-5"/>
        </w:rPr>
        <w:t>月，经股东大会同意，公司将原名“茂业物流</w:t>
      </w:r>
      <w:r>
        <w:rPr>
          <w:w w:val="100"/>
        </w:rPr>
        <w:t> </w:t>
      </w:r>
      <w:r>
        <w:rPr>
          <w:spacing w:val="-6"/>
          <w:w w:val="100"/>
        </w:rPr>
        <w:t>股份有限公司”更名为“茂业通信网络股份有限公司”。</w:t>
      </w:r>
    </w:p>
    <w:p>
      <w:pPr>
        <w:pStyle w:val="BodyText"/>
        <w:spacing w:line="273" w:lineRule="auto"/>
        <w:ind w:left="153" w:right="0" w:firstLine="420"/>
        <w:jc w:val="left"/>
      </w:pPr>
      <w:r>
        <w:rPr>
          <w:w w:val="100"/>
        </w:rPr>
        <w:t>截止</w:t>
      </w:r>
      <w:r>
        <w:rPr>
          <w:spacing w:val="-61"/>
          <w:w w:val="100"/>
        </w:rPr>
        <w:t> </w:t>
      </w:r>
      <w:r>
        <w:rPr>
          <w:spacing w:val="-1"/>
          <w:w w:val="100"/>
        </w:rPr>
        <w:t>2017</w:t>
      </w:r>
      <w:r>
        <w:rPr>
          <w:spacing w:val="-59"/>
          <w:w w:val="100"/>
        </w:rPr>
        <w:t> </w:t>
      </w:r>
      <w:r>
        <w:rPr>
          <w:w w:val="100"/>
        </w:rPr>
        <w:t>年</w:t>
      </w:r>
      <w:r>
        <w:rPr>
          <w:spacing w:val="-61"/>
          <w:w w:val="100"/>
        </w:rPr>
        <w:t> </w:t>
      </w:r>
      <w:r>
        <w:rPr>
          <w:w w:val="100"/>
        </w:rPr>
        <w:t>12</w:t>
      </w:r>
      <w:r>
        <w:rPr>
          <w:spacing w:val="-61"/>
          <w:w w:val="100"/>
        </w:rPr>
        <w:t> </w:t>
      </w:r>
      <w:r>
        <w:rPr>
          <w:w w:val="100"/>
        </w:rPr>
        <w:t>月</w:t>
      </w:r>
      <w:r>
        <w:rPr>
          <w:spacing w:val="-59"/>
          <w:w w:val="100"/>
        </w:rPr>
        <w:t> </w:t>
      </w:r>
      <w:r>
        <w:rPr>
          <w:spacing w:val="-2"/>
          <w:w w:val="100"/>
        </w:rPr>
        <w:t>31</w:t>
      </w:r>
      <w:r>
        <w:rPr>
          <w:spacing w:val="-59"/>
          <w:w w:val="100"/>
        </w:rPr>
        <w:t> </w:t>
      </w:r>
      <w:r>
        <w:rPr>
          <w:spacing w:val="-10"/>
          <w:w w:val="100"/>
        </w:rPr>
        <w:t>日，本公司累计发行股本总数</w:t>
      </w:r>
      <w:r>
        <w:rPr>
          <w:spacing w:val="-61"/>
          <w:w w:val="100"/>
        </w:rPr>
        <w:t> </w:t>
      </w:r>
      <w:r>
        <w:rPr>
          <w:spacing w:val="-1"/>
          <w:w w:val="100"/>
        </w:rPr>
        <w:t>62,182.6786</w:t>
      </w:r>
      <w:r>
        <w:rPr>
          <w:spacing w:val="-59"/>
          <w:w w:val="100"/>
        </w:rPr>
        <w:t> </w:t>
      </w:r>
      <w:r>
        <w:rPr>
          <w:spacing w:val="-15"/>
          <w:w w:val="100"/>
        </w:rPr>
        <w:t>万股，注册资本为</w:t>
      </w:r>
      <w:r>
        <w:rPr>
          <w:spacing w:val="-61"/>
          <w:w w:val="100"/>
        </w:rPr>
        <w:t> </w:t>
      </w:r>
      <w:r>
        <w:rPr>
          <w:spacing w:val="-1"/>
          <w:w w:val="100"/>
        </w:rPr>
        <w:t>62,182.6786</w:t>
      </w:r>
      <w:r>
        <w:rPr>
          <w:w w:val="100"/>
        </w:rPr>
        <w:t> </w:t>
      </w:r>
      <w:r>
        <w:rPr/>
        <w:t>万元。</w:t>
      </w:r>
    </w:p>
    <w:p>
      <w:pPr>
        <w:pStyle w:val="BodyText"/>
        <w:spacing w:line="273" w:lineRule="auto"/>
        <w:ind w:right="4357"/>
        <w:jc w:val="left"/>
      </w:pPr>
      <w:r>
        <w:rPr>
          <w:spacing w:val="-1"/>
        </w:rPr>
        <w:t>本公司股票代码：000889。</w:t>
      </w:r>
      <w:r>
        <w:rPr>
          <w:spacing w:val="-91"/>
        </w:rPr>
        <w:t> </w:t>
      </w:r>
      <w:r>
        <w:rPr>
          <w:spacing w:val="-91"/>
        </w:rPr>
      </w:r>
      <w:r>
        <w:rPr/>
        <w:t>法定代表人：吴鹰。</w:t>
      </w:r>
    </w:p>
    <w:p>
      <w:pPr>
        <w:pStyle w:val="BodyText"/>
        <w:spacing w:line="252" w:lineRule="auto"/>
        <w:ind w:right="0"/>
        <w:jc w:val="left"/>
      </w:pPr>
      <w:r>
        <w:rPr/>
        <w:t>公司总部注册地址：秦皇岛市海港区河北大街中段</w:t>
      </w:r>
      <w:r>
        <w:rPr>
          <w:spacing w:val="-55"/>
        </w:rPr>
        <w:t> </w:t>
      </w:r>
      <w:r>
        <w:rPr/>
        <w:t>146</w:t>
      </w:r>
      <w:r>
        <w:rPr>
          <w:spacing w:val="-53"/>
        </w:rPr>
        <w:t> </w:t>
      </w:r>
      <w:r>
        <w:rPr/>
        <w:t>号</w:t>
      </w:r>
      <w:r>
        <w:rPr>
          <w:spacing w:val="-55"/>
        </w:rPr>
        <w:t> </w:t>
      </w:r>
      <w:r>
        <w:rPr/>
        <w:t>26</w:t>
      </w:r>
      <w:r>
        <w:rPr>
          <w:spacing w:val="-55"/>
        </w:rPr>
        <w:t> </w:t>
      </w:r>
      <w:r>
        <w:rPr/>
        <w:t>层。</w:t>
      </w:r>
      <w:r>
        <w:rPr>
          <w:spacing w:val="-103"/>
        </w:rPr>
        <w:t> </w:t>
      </w:r>
      <w:r>
        <w:rPr>
          <w:spacing w:val="-103"/>
        </w:rPr>
      </w:r>
      <w:r>
        <w:rPr/>
        <w:t>本公司下设茂业通信网络股份有限公司深圳分公司，全资控股子公司2户，分别是北京创世漫</w:t>
      </w:r>
    </w:p>
    <w:p>
      <w:pPr>
        <w:pStyle w:val="BodyText"/>
        <w:spacing w:line="263" w:lineRule="exact" w:before="0"/>
        <w:ind w:left="153" w:right="0"/>
        <w:jc w:val="both"/>
      </w:pPr>
      <w:r>
        <w:rPr/>
        <w:t>道科技有限公司(以下简称“创世漫道”)、广东长实通信科技有限公司(以下简称“长实科技”)。</w:t>
      </w:r>
    </w:p>
    <w:p>
      <w:pPr>
        <w:pStyle w:val="BodyText"/>
        <w:spacing w:line="256" w:lineRule="auto" w:before="90"/>
        <w:ind w:right="0"/>
        <w:jc w:val="left"/>
      </w:pPr>
      <w:r>
        <w:rPr/>
        <w:t>(二)</w:t>
      </w:r>
      <w:r>
        <w:rPr>
          <w:spacing w:val="-2"/>
        </w:rPr>
        <w:t> </w:t>
      </w:r>
      <w:r>
        <w:rPr/>
        <w:t>公司的业务性质和主要经营活动</w:t>
      </w:r>
      <w:r>
        <w:rPr>
          <w:w w:val="100"/>
        </w:rPr>
        <w:t> </w:t>
      </w:r>
      <w:r>
        <w:rPr>
          <w:spacing w:val="-2"/>
        </w:rPr>
        <w:t>经营范围：通信工程、计算机网络工程的设计；网上销售；电子产品及通信设备、生产专用车</w:t>
      </w:r>
    </w:p>
    <w:p>
      <w:pPr>
        <w:pStyle w:val="BodyText"/>
        <w:spacing w:line="273" w:lineRule="auto" w:before="22"/>
        <w:ind w:left="153" w:right="130"/>
        <w:jc w:val="both"/>
      </w:pPr>
      <w:r>
        <w:rPr>
          <w:spacing w:val="-2"/>
        </w:rPr>
        <w:t>辆、家庭用品、工艺品；对餐饮业、居民服务业、采矿业、交通运输业的投资；货物进出口；通信</w:t>
      </w:r>
      <w:r>
        <w:rPr>
          <w:spacing w:val="-50"/>
        </w:rPr>
        <w:t> </w:t>
      </w:r>
      <w:r>
        <w:rPr>
          <w:spacing w:val="-50"/>
        </w:rPr>
      </w:r>
      <w:r>
        <w:rPr>
          <w:spacing w:val="-2"/>
        </w:rPr>
        <w:t>网络信息咨询服务；设计、制作、代理、发布国内各类广告；电子产品、计算机软件、计算机网络</w:t>
      </w:r>
      <w:r>
        <w:rPr>
          <w:spacing w:val="-43"/>
        </w:rPr>
        <w:t> </w:t>
      </w:r>
      <w:r>
        <w:rPr>
          <w:spacing w:val="-43"/>
        </w:rPr>
      </w:r>
      <w:r>
        <w:rPr>
          <w:spacing w:val="-4"/>
          <w:w w:val="100"/>
        </w:rPr>
        <w:t>的技术开发、技术咨询、技术推广（依法须经批准的项目，经相关部门批准后方可开展经营）。</w:t>
      </w:r>
    </w:p>
    <w:p>
      <w:pPr>
        <w:pStyle w:val="BodyText"/>
        <w:spacing w:line="273" w:lineRule="auto"/>
        <w:ind w:left="552" w:right="0"/>
        <w:jc w:val="left"/>
      </w:pPr>
      <w:r>
        <w:rPr/>
        <w:t>子公司创世漫道主要从事增值电信业务中的信息服务业务。</w:t>
      </w:r>
      <w:r>
        <w:rPr>
          <w:w w:val="100"/>
        </w:rPr>
        <w:t> </w:t>
      </w:r>
      <w:r>
        <w:rPr>
          <w:spacing w:val="-2"/>
        </w:rPr>
        <w:t>子公司长实科技主要从事通信网络维护，通信铁塔维护服务，通信网络优化工程业务。</w:t>
      </w:r>
    </w:p>
    <w:p>
      <w:pPr>
        <w:pStyle w:val="BodyText"/>
        <w:spacing w:line="272" w:lineRule="exact" w:before="105"/>
        <w:ind w:right="0"/>
        <w:jc w:val="left"/>
      </w:pPr>
      <w:r>
        <w:rPr/>
        <w:t>(三)</w:t>
      </w:r>
      <w:r>
        <w:rPr>
          <w:spacing w:val="-2"/>
        </w:rPr>
        <w:t> </w:t>
      </w:r>
      <w:r>
        <w:rPr/>
        <w:t>财务报告的批准报出</w:t>
      </w:r>
      <w:r>
        <w:rPr>
          <w:w w:val="100"/>
        </w:rPr>
        <w:t> </w:t>
      </w:r>
      <w:r>
        <w:rPr/>
        <w:t>本财务报表业经本公司董事会于2018年4月13日决议批准报出。根据本公司章程，本财务报表</w:t>
      </w:r>
    </w:p>
    <w:p>
      <w:pPr>
        <w:pStyle w:val="BodyText"/>
        <w:spacing w:line="249" w:lineRule="exact" w:before="0"/>
        <w:ind w:left="153" w:right="0"/>
        <w:jc w:val="both"/>
      </w:pPr>
      <w:r>
        <w:rPr/>
        <w:t>将提交股东大会审议。</w:t>
      </w:r>
    </w:p>
    <w:p>
      <w:pPr>
        <w:pStyle w:val="BodyText"/>
        <w:spacing w:line="240" w:lineRule="auto" w:before="90"/>
        <w:ind w:right="0"/>
        <w:jc w:val="left"/>
      </w:pPr>
      <w:r>
        <w:rPr/>
        <w:t>(四) 合并报表范围</w:t>
      </w:r>
      <w:r>
        <w:rPr>
          <w:spacing w:val="-104"/>
        </w:rPr>
        <w:t> </w:t>
      </w:r>
      <w:r>
        <w:rPr>
          <w:spacing w:val="-104"/>
        </w:rPr>
      </w:r>
      <w:r>
        <w:rPr>
          <w:spacing w:val="-4"/>
          <w:w w:val="100"/>
        </w:rPr>
        <w:t>本公司2017年度纳入合并范围的子公司共2户，详见本附注八“在其他主体中的权益”。</w:t>
      </w:r>
    </w:p>
    <w:p>
      <w:pPr>
        <w:spacing w:line="240" w:lineRule="auto" w:before="8"/>
        <w:rPr>
          <w:rFonts w:ascii="宋体" w:hAnsi="宋体" w:cs="宋体" w:eastAsia="宋体" w:hint="default"/>
          <w:sz w:val="20"/>
          <w:szCs w:val="20"/>
        </w:rPr>
      </w:pPr>
    </w:p>
    <w:p>
      <w:pPr>
        <w:spacing w:line="312" w:lineRule="auto" w:before="0"/>
        <w:ind w:left="573" w:right="6391" w:firstLine="2"/>
        <w:jc w:val="left"/>
        <w:rPr>
          <w:rFonts w:ascii="宋体" w:hAnsi="宋体" w:cs="宋体" w:eastAsia="宋体" w:hint="default"/>
          <w:sz w:val="21"/>
          <w:szCs w:val="21"/>
        </w:rPr>
      </w:pPr>
      <w:r>
        <w:rPr>
          <w:rFonts w:ascii="宋体" w:hAnsi="宋体" w:cs="宋体" w:eastAsia="宋体" w:hint="default"/>
          <w:b/>
          <w:bCs/>
          <w:sz w:val="21"/>
          <w:szCs w:val="21"/>
        </w:rPr>
        <w:t>二、财务报表的编制基础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1、编制基础</w:t>
      </w:r>
    </w:p>
    <w:p>
      <w:pPr>
        <w:pStyle w:val="BodyText"/>
        <w:spacing w:line="223" w:lineRule="exact" w:before="0"/>
        <w:ind w:left="153" w:right="0" w:firstLine="420"/>
        <w:jc w:val="left"/>
      </w:pPr>
      <w:r>
        <w:rPr/>
        <w:t>本公司财务报表以持续经营假设为基础，根据实际发生的交易和事项，按照财政部颁布的企业</w:t>
      </w:r>
    </w:p>
    <w:p>
      <w:pPr>
        <w:pStyle w:val="BodyText"/>
        <w:spacing w:line="240" w:lineRule="auto" w:before="0"/>
        <w:ind w:left="153" w:right="130"/>
        <w:jc w:val="both"/>
      </w:pPr>
      <w:r>
        <w:rPr>
          <w:spacing w:val="2"/>
          <w:w w:val="100"/>
        </w:rPr>
        <w:t>会</w:t>
      </w:r>
      <w:r>
        <w:rPr>
          <w:w w:val="100"/>
        </w:rPr>
        <w:t>计</w:t>
      </w:r>
      <w:r>
        <w:rPr>
          <w:spacing w:val="2"/>
          <w:w w:val="100"/>
        </w:rPr>
        <w:t>准</w:t>
      </w:r>
      <w:r>
        <w:rPr>
          <w:w w:val="100"/>
        </w:rPr>
        <w:t>则及</w:t>
      </w:r>
      <w:r>
        <w:rPr>
          <w:spacing w:val="2"/>
          <w:w w:val="100"/>
        </w:rPr>
        <w:t>其</w:t>
      </w:r>
      <w:r>
        <w:rPr>
          <w:w w:val="100"/>
        </w:rPr>
        <w:t>应</w:t>
      </w:r>
      <w:r>
        <w:rPr>
          <w:spacing w:val="2"/>
          <w:w w:val="100"/>
        </w:rPr>
        <w:t>用</w:t>
      </w:r>
      <w:r>
        <w:rPr>
          <w:w w:val="100"/>
        </w:rPr>
        <w:t>指南、</w:t>
      </w:r>
      <w:r>
        <w:rPr>
          <w:spacing w:val="2"/>
          <w:w w:val="100"/>
        </w:rPr>
        <w:t>解</w:t>
      </w:r>
      <w:r>
        <w:rPr>
          <w:w w:val="100"/>
        </w:rPr>
        <w:t>释</w:t>
      </w:r>
      <w:r>
        <w:rPr>
          <w:spacing w:val="2"/>
          <w:w w:val="100"/>
        </w:rPr>
        <w:t>及</w:t>
      </w:r>
      <w:r>
        <w:rPr>
          <w:w w:val="100"/>
        </w:rPr>
        <w:t>其他</w:t>
      </w:r>
      <w:r>
        <w:rPr>
          <w:spacing w:val="2"/>
          <w:w w:val="100"/>
        </w:rPr>
        <w:t>有</w:t>
      </w:r>
      <w:r>
        <w:rPr>
          <w:w w:val="100"/>
        </w:rPr>
        <w:t>关</w:t>
      </w:r>
      <w:r>
        <w:rPr>
          <w:spacing w:val="2"/>
          <w:w w:val="100"/>
        </w:rPr>
        <w:t>规</w:t>
      </w:r>
      <w:r>
        <w:rPr>
          <w:w w:val="100"/>
        </w:rPr>
        <w:t>定（统</w:t>
      </w:r>
      <w:r>
        <w:rPr>
          <w:spacing w:val="2"/>
          <w:w w:val="100"/>
        </w:rPr>
        <w:t>称</w:t>
      </w:r>
      <w:r>
        <w:rPr>
          <w:w w:val="100"/>
        </w:rPr>
        <w:t>“</w:t>
      </w:r>
      <w:r>
        <w:rPr>
          <w:spacing w:val="2"/>
          <w:w w:val="100"/>
        </w:rPr>
        <w:t>企</w:t>
      </w:r>
      <w:r>
        <w:rPr>
          <w:w w:val="100"/>
        </w:rPr>
        <w:t>业会</w:t>
      </w:r>
      <w:r>
        <w:rPr>
          <w:spacing w:val="2"/>
          <w:w w:val="100"/>
        </w:rPr>
        <w:t>计</w:t>
      </w:r>
      <w:r>
        <w:rPr>
          <w:w w:val="100"/>
        </w:rPr>
        <w:t>准</w:t>
      </w:r>
      <w:r>
        <w:rPr>
          <w:spacing w:val="2"/>
          <w:w w:val="100"/>
        </w:rPr>
        <w:t>则</w:t>
      </w:r>
      <w:r>
        <w:rPr>
          <w:spacing w:val="-106"/>
          <w:w w:val="100"/>
        </w:rPr>
        <w:t>”</w:t>
      </w:r>
      <w:r>
        <w:rPr>
          <w:spacing w:val="2"/>
          <w:w w:val="100"/>
        </w:rPr>
        <w:t>）</w:t>
      </w:r>
      <w:r>
        <w:rPr>
          <w:w w:val="100"/>
        </w:rPr>
        <w:t>编制</w:t>
      </w:r>
      <w:r>
        <w:rPr>
          <w:spacing w:val="2"/>
          <w:w w:val="100"/>
        </w:rPr>
        <w:t>。</w:t>
      </w:r>
      <w:r>
        <w:rPr>
          <w:w w:val="100"/>
        </w:rPr>
        <w:t>此</w:t>
      </w:r>
      <w:r>
        <w:rPr>
          <w:spacing w:val="2"/>
          <w:w w:val="100"/>
        </w:rPr>
        <w:t>外</w:t>
      </w:r>
      <w:r>
        <w:rPr>
          <w:w w:val="100"/>
        </w:rPr>
        <w:t>，本</w:t>
      </w:r>
      <w:r>
        <w:rPr>
          <w:spacing w:val="2"/>
          <w:w w:val="100"/>
        </w:rPr>
        <w:t>公</w:t>
      </w:r>
      <w:r>
        <w:rPr>
          <w:w w:val="100"/>
        </w:rPr>
        <w:t>司</w:t>
      </w:r>
      <w:r>
        <w:rPr>
          <w:spacing w:val="2"/>
          <w:w w:val="100"/>
        </w:rPr>
        <w:t>还</w:t>
      </w:r>
      <w:r>
        <w:rPr>
          <w:w w:val="100"/>
        </w:rPr>
        <w:t>按</w:t>
      </w:r>
      <w:r>
        <w:rPr>
          <w:w w:val="100"/>
        </w:rPr>
        <w:t> </w:t>
      </w:r>
      <w:r>
        <w:rPr>
          <w:spacing w:val="2"/>
          <w:w w:val="100"/>
        </w:rPr>
        <w:t>照</w:t>
      </w:r>
      <w:r>
        <w:rPr>
          <w:w w:val="100"/>
        </w:rPr>
        <w:t>中</w:t>
      </w:r>
      <w:r>
        <w:rPr>
          <w:spacing w:val="2"/>
          <w:w w:val="100"/>
        </w:rPr>
        <w:t>国</w:t>
      </w:r>
      <w:r>
        <w:rPr>
          <w:w w:val="100"/>
        </w:rPr>
        <w:t>证监</w:t>
      </w:r>
      <w:r>
        <w:rPr>
          <w:spacing w:val="2"/>
          <w:w w:val="100"/>
        </w:rPr>
        <w:t>会</w:t>
      </w:r>
      <w:r>
        <w:rPr>
          <w:w w:val="100"/>
        </w:rPr>
        <w:t>《</w:t>
      </w:r>
      <w:r>
        <w:rPr>
          <w:spacing w:val="2"/>
          <w:w w:val="100"/>
        </w:rPr>
        <w:t>公</w:t>
      </w:r>
      <w:r>
        <w:rPr>
          <w:w w:val="100"/>
        </w:rPr>
        <w:t>开</w:t>
      </w:r>
      <w:r>
        <w:rPr>
          <w:spacing w:val="2"/>
          <w:w w:val="100"/>
        </w:rPr>
        <w:t>发</w:t>
      </w:r>
      <w:r>
        <w:rPr>
          <w:w w:val="100"/>
        </w:rPr>
        <w:t>行</w:t>
      </w:r>
      <w:r>
        <w:rPr>
          <w:spacing w:val="2"/>
          <w:w w:val="100"/>
        </w:rPr>
        <w:t>证</w:t>
      </w:r>
      <w:r>
        <w:rPr>
          <w:w w:val="100"/>
        </w:rPr>
        <w:t>券</w:t>
      </w:r>
      <w:r>
        <w:rPr>
          <w:spacing w:val="2"/>
          <w:w w:val="100"/>
        </w:rPr>
        <w:t>的</w:t>
      </w:r>
      <w:r>
        <w:rPr>
          <w:w w:val="100"/>
        </w:rPr>
        <w:t>公司</w:t>
      </w:r>
      <w:r>
        <w:rPr>
          <w:spacing w:val="2"/>
          <w:w w:val="100"/>
        </w:rPr>
        <w:t>信</w:t>
      </w:r>
      <w:r>
        <w:rPr>
          <w:w w:val="100"/>
        </w:rPr>
        <w:t>息</w:t>
      </w:r>
      <w:r>
        <w:rPr>
          <w:spacing w:val="2"/>
          <w:w w:val="100"/>
        </w:rPr>
        <w:t>披</w:t>
      </w:r>
      <w:r>
        <w:rPr>
          <w:w w:val="100"/>
        </w:rPr>
        <w:t>露</w:t>
      </w:r>
      <w:r>
        <w:rPr>
          <w:spacing w:val="2"/>
          <w:w w:val="100"/>
        </w:rPr>
        <w:t>编</w:t>
      </w:r>
      <w:r>
        <w:rPr>
          <w:w w:val="100"/>
        </w:rPr>
        <w:t>报</w:t>
      </w:r>
      <w:r>
        <w:rPr>
          <w:spacing w:val="2"/>
          <w:w w:val="100"/>
        </w:rPr>
        <w:t>规</w:t>
      </w:r>
      <w:r>
        <w:rPr>
          <w:w w:val="100"/>
        </w:rPr>
        <w:t>则</w:t>
      </w:r>
      <w:r>
        <w:rPr>
          <w:spacing w:val="2"/>
          <w:w w:val="100"/>
        </w:rPr>
        <w:t>第</w:t>
      </w:r>
      <w:r>
        <w:rPr>
          <w:w w:val="100"/>
        </w:rPr>
        <w:t>15号</w:t>
      </w:r>
      <w:r>
        <w:rPr>
          <w:spacing w:val="2"/>
          <w:w w:val="100"/>
        </w:rPr>
        <w:t>—</w:t>
      </w:r>
      <w:r>
        <w:rPr>
          <w:w w:val="100"/>
        </w:rPr>
        <w:t>—</w:t>
      </w:r>
      <w:r>
        <w:rPr>
          <w:spacing w:val="2"/>
          <w:w w:val="100"/>
        </w:rPr>
        <w:t>财</w:t>
      </w:r>
      <w:r>
        <w:rPr>
          <w:w w:val="100"/>
        </w:rPr>
        <w:t>务</w:t>
      </w:r>
      <w:r>
        <w:rPr>
          <w:spacing w:val="2"/>
          <w:w w:val="100"/>
        </w:rPr>
        <w:t>报</w:t>
      </w:r>
      <w:r>
        <w:rPr>
          <w:w w:val="100"/>
        </w:rPr>
        <w:t>告</w:t>
      </w:r>
      <w:r>
        <w:rPr>
          <w:spacing w:val="2"/>
          <w:w w:val="100"/>
        </w:rPr>
        <w:t>的</w:t>
      </w:r>
      <w:r>
        <w:rPr>
          <w:w w:val="100"/>
        </w:rPr>
        <w:t>一</w:t>
      </w:r>
      <w:r>
        <w:rPr>
          <w:spacing w:val="2"/>
          <w:w w:val="100"/>
        </w:rPr>
        <w:t>般</w:t>
      </w:r>
      <w:r>
        <w:rPr>
          <w:w w:val="100"/>
        </w:rPr>
        <w:t>规</w:t>
      </w:r>
      <w:r>
        <w:rPr>
          <w:spacing w:val="2"/>
          <w:w w:val="100"/>
        </w:rPr>
        <w:t>定</w:t>
      </w:r>
      <w:r>
        <w:rPr>
          <w:spacing w:val="-106"/>
          <w:w w:val="100"/>
        </w:rPr>
        <w:t>》</w:t>
      </w:r>
      <w:r>
        <w:rPr>
          <w:spacing w:val="2"/>
          <w:w w:val="100"/>
        </w:rPr>
        <w:t>（</w:t>
      </w:r>
      <w:r>
        <w:rPr>
          <w:w w:val="100"/>
        </w:rPr>
        <w:t>2</w:t>
      </w:r>
      <w:r>
        <w:rPr>
          <w:spacing w:val="-3"/>
          <w:w w:val="100"/>
        </w:rPr>
        <w:t>0</w:t>
      </w:r>
      <w:r>
        <w:rPr>
          <w:w w:val="100"/>
        </w:rPr>
        <w:t>14年</w:t>
      </w:r>
    </w:p>
    <w:p>
      <w:pPr>
        <w:spacing w:after="0" w:line="240" w:lineRule="auto"/>
        <w:jc w:val="both"/>
        <w:sectPr>
          <w:headerReference w:type="default" r:id="rId58"/>
          <w:footerReference w:type="default" r:id="rId59"/>
          <w:pgSz w:w="11910" w:h="16840"/>
          <w:pgMar w:header="884" w:footer="1219" w:top="1140" w:bottom="1400" w:left="1320" w:right="1280"/>
          <w:pgNumType w:start="77"/>
        </w:sectPr>
      </w:pPr>
    </w:p>
    <w:p>
      <w:pPr>
        <w:pStyle w:val="BodyText"/>
        <w:spacing w:line="259" w:lineRule="auto" w:before="107"/>
        <w:ind w:right="46" w:hanging="421"/>
        <w:jc w:val="left"/>
      </w:pPr>
      <w:r>
        <w:rPr/>
        <w:t>修订）披露有关财务信息。</w:t>
      </w:r>
      <w:r>
        <w:rPr>
          <w:w w:val="100"/>
        </w:rPr>
        <w:t> </w:t>
      </w:r>
      <w:r>
        <w:rPr>
          <w:spacing w:val="-2"/>
        </w:rPr>
        <w:t>根据企业会计准则的相关规定，本公司会计核算以权责发生制为基础。除某些金融工具外，本</w:t>
      </w:r>
    </w:p>
    <w:p>
      <w:pPr>
        <w:pStyle w:val="BodyText"/>
        <w:spacing w:line="326" w:lineRule="auto" w:before="20"/>
        <w:ind w:right="46" w:hanging="421"/>
        <w:jc w:val="left"/>
      </w:pPr>
      <w:r>
        <w:rPr>
          <w:spacing w:val="-2"/>
        </w:rPr>
        <w:t>财务报表均以历史成本为计量基础。资产如果发生减值，则按照相关规定计提相应的减值准备。</w:t>
      </w:r>
      <w:r>
        <w:rPr>
          <w:spacing w:val="-25"/>
        </w:rPr>
        <w:t> </w:t>
      </w:r>
      <w:r>
        <w:rPr>
          <w:spacing w:val="-25"/>
        </w:rPr>
      </w:r>
      <w:r>
        <w:rPr/>
        <w:t>2、持续经营</w:t>
      </w:r>
    </w:p>
    <w:p>
      <w:pPr>
        <w:pStyle w:val="BodyText"/>
        <w:spacing w:line="236" w:lineRule="exact" w:before="0"/>
        <w:ind w:right="46"/>
        <w:jc w:val="left"/>
      </w:pPr>
      <w:r>
        <w:rPr/>
        <w:t>本财务报表以持续经营为基础列报，本公司自报告期末起至少</w:t>
      </w:r>
      <w:r>
        <w:rPr>
          <w:spacing w:val="-55"/>
        </w:rPr>
        <w:t> </w:t>
      </w:r>
      <w:r>
        <w:rPr/>
        <w:t>12</w:t>
      </w:r>
      <w:r>
        <w:rPr>
          <w:spacing w:val="-57"/>
        </w:rPr>
        <w:t> </w:t>
      </w:r>
      <w:r>
        <w:rPr/>
        <w:t>个月具有持续营能力。</w:t>
      </w:r>
    </w:p>
    <w:p>
      <w:pPr>
        <w:spacing w:line="240" w:lineRule="auto" w:before="13"/>
        <w:rPr>
          <w:rFonts w:ascii="宋体" w:hAnsi="宋体" w:cs="宋体" w:eastAsia="宋体" w:hint="default"/>
          <w:sz w:val="26"/>
          <w:szCs w:val="26"/>
        </w:rPr>
      </w:pPr>
    </w:p>
    <w:p>
      <w:pPr>
        <w:spacing w:line="272" w:lineRule="exact" w:before="0"/>
        <w:ind w:left="573" w:right="46" w:firstLine="2"/>
        <w:jc w:val="left"/>
        <w:rPr>
          <w:rFonts w:ascii="宋体" w:hAnsi="宋体" w:cs="宋体" w:eastAsia="宋体" w:hint="default"/>
          <w:sz w:val="21"/>
          <w:szCs w:val="21"/>
        </w:rPr>
      </w:pPr>
      <w:r>
        <w:rPr>
          <w:rFonts w:ascii="宋体" w:hAnsi="宋体" w:cs="宋体" w:eastAsia="宋体" w:hint="default"/>
          <w:b/>
          <w:bCs/>
          <w:sz w:val="21"/>
          <w:szCs w:val="21"/>
        </w:rPr>
        <w:t>三、遵循企业会计准则的声明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本公司编制的财务报表符合企业会计准则的要求，真实、完整地反映了本公司2017年12月31日</w:t>
      </w:r>
    </w:p>
    <w:p>
      <w:pPr>
        <w:pStyle w:val="BodyText"/>
        <w:spacing w:line="272" w:lineRule="exact" w:before="1"/>
        <w:ind w:left="153" w:right="210"/>
        <w:jc w:val="both"/>
      </w:pPr>
      <w:r>
        <w:rPr>
          <w:spacing w:val="2"/>
        </w:rPr>
        <w:t>的合并及母公司财务状况及2017年度的合并及母公司经营成果和合并及母公司现金流量等有关信</w:t>
      </w:r>
      <w:r>
        <w:rPr>
          <w:spacing w:val="-20"/>
        </w:rPr>
        <w:t> </w:t>
      </w:r>
      <w:r>
        <w:rPr>
          <w:spacing w:val="-20"/>
        </w:rPr>
      </w:r>
      <w:r>
        <w:rPr/>
        <w:t>息。</w:t>
      </w:r>
    </w:p>
    <w:p>
      <w:pPr>
        <w:spacing w:line="240" w:lineRule="auto" w:before="9"/>
        <w:rPr>
          <w:rFonts w:ascii="宋体" w:hAnsi="宋体" w:cs="宋体" w:eastAsia="宋体" w:hint="default"/>
          <w:sz w:val="18"/>
          <w:szCs w:val="18"/>
        </w:rPr>
      </w:pPr>
    </w:p>
    <w:p>
      <w:pPr>
        <w:spacing w:line="256" w:lineRule="auto" w:before="0"/>
        <w:ind w:left="573" w:right="46" w:firstLine="2"/>
        <w:jc w:val="left"/>
        <w:rPr>
          <w:rFonts w:ascii="宋体" w:hAnsi="宋体" w:cs="宋体" w:eastAsia="宋体" w:hint="default"/>
          <w:sz w:val="21"/>
          <w:szCs w:val="21"/>
        </w:rPr>
      </w:pPr>
      <w:r>
        <w:rPr>
          <w:rFonts w:ascii="宋体" w:hAnsi="宋体" w:cs="宋体" w:eastAsia="宋体" w:hint="default"/>
          <w:b/>
          <w:bCs/>
          <w:sz w:val="21"/>
          <w:szCs w:val="21"/>
        </w:rPr>
        <w:t>四、重要会计政策和会计估计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本公司及各子公司根据实际生产经营特点，依据相关企业会计准则的规定，对收入确认、建造</w:t>
      </w:r>
    </w:p>
    <w:p>
      <w:pPr>
        <w:pStyle w:val="BodyText"/>
        <w:spacing w:line="273" w:lineRule="auto" w:before="22"/>
        <w:ind w:left="153" w:right="210"/>
        <w:jc w:val="both"/>
      </w:pPr>
      <w:r>
        <w:rPr>
          <w:spacing w:val="-2"/>
        </w:rPr>
        <w:t>合同完工百分比确定、研究开发支出等交易和事项制定了若干项具体会计政策和会计估计，详见本</w:t>
      </w:r>
      <w:r>
        <w:rPr>
          <w:spacing w:val="-43"/>
        </w:rPr>
        <w:t> </w:t>
      </w:r>
      <w:r>
        <w:rPr>
          <w:spacing w:val="-43"/>
        </w:rPr>
      </w:r>
      <w:r>
        <w:rPr>
          <w:spacing w:val="-7"/>
          <w:w w:val="100"/>
        </w:rPr>
        <w:t>附注四、21“收入”、附注四、16、“无形资产”各项描述。关于管理层所做出的重大会计判断和估</w:t>
      </w:r>
      <w:r>
        <w:rPr>
          <w:spacing w:val="-77"/>
          <w:w w:val="100"/>
        </w:rPr>
        <w:t> </w:t>
      </w:r>
      <w:r>
        <w:rPr>
          <w:spacing w:val="-77"/>
          <w:w w:val="100"/>
        </w:rPr>
      </w:r>
      <w:r>
        <w:rPr>
          <w:spacing w:val="-6"/>
          <w:w w:val="100"/>
        </w:rPr>
        <w:t>计的说明，请参阅附注四、25“重大会计判断和估计”。</w:t>
      </w:r>
    </w:p>
    <w:p>
      <w:pPr>
        <w:pStyle w:val="BodyText"/>
        <w:spacing w:line="259" w:lineRule="auto" w:before="77"/>
        <w:ind w:right="46" w:firstLine="2"/>
        <w:jc w:val="left"/>
      </w:pPr>
      <w:r>
        <w:rPr>
          <w:rFonts w:ascii="宋体" w:hAnsi="宋体" w:cs="宋体" w:eastAsia="宋体" w:hint="default"/>
          <w:b/>
          <w:bCs/>
        </w:rPr>
        <w:t>1、会计期间</w:t>
      </w:r>
      <w:r>
        <w:rPr>
          <w:rFonts w:ascii="宋体" w:hAnsi="宋体" w:cs="宋体" w:eastAsia="宋体" w:hint="default"/>
          <w:b/>
          <w:bCs/>
          <w:w w:val="100"/>
        </w:rPr>
        <w:t> </w:t>
      </w:r>
      <w:r>
        <w:rPr>
          <w:spacing w:val="-2"/>
        </w:rPr>
        <w:t>本公司的会计期间分为年度和中期，会计中期指短于一个完整的会计年度的报告期间。本公司</w:t>
      </w:r>
    </w:p>
    <w:p>
      <w:pPr>
        <w:pStyle w:val="BodyText"/>
        <w:spacing w:line="333" w:lineRule="auto" w:before="20"/>
        <w:ind w:left="575" w:right="3345" w:hanging="423"/>
        <w:jc w:val="left"/>
        <w:rPr>
          <w:rFonts w:ascii="宋体" w:hAnsi="宋体" w:cs="宋体" w:eastAsia="宋体" w:hint="default"/>
        </w:rPr>
      </w:pPr>
      <w:r>
        <w:rPr/>
        <w:t>会计年度采用公历年度，即每年自</w:t>
      </w:r>
      <w:r>
        <w:rPr>
          <w:spacing w:val="-53"/>
        </w:rPr>
        <w:t> </w:t>
      </w:r>
      <w:r>
        <w:rPr/>
        <w:t>1</w:t>
      </w:r>
      <w:r>
        <w:rPr>
          <w:spacing w:val="-55"/>
        </w:rPr>
        <w:t> </w:t>
      </w:r>
      <w:r>
        <w:rPr/>
        <w:t>月</w:t>
      </w:r>
      <w:r>
        <w:rPr>
          <w:spacing w:val="-53"/>
        </w:rPr>
        <w:t> </w:t>
      </w:r>
      <w:r>
        <w:rPr/>
        <w:t>1</w:t>
      </w:r>
      <w:r>
        <w:rPr>
          <w:spacing w:val="-55"/>
        </w:rPr>
        <w:t> </w:t>
      </w:r>
      <w:r>
        <w:rPr/>
        <w:t>日起至</w:t>
      </w:r>
      <w:r>
        <w:rPr>
          <w:spacing w:val="-53"/>
        </w:rPr>
        <w:t> </w:t>
      </w:r>
      <w:r>
        <w:rPr/>
        <w:t>12</w:t>
      </w:r>
      <w:r>
        <w:rPr>
          <w:spacing w:val="-55"/>
        </w:rPr>
        <w:t> </w:t>
      </w:r>
      <w:r>
        <w:rPr/>
        <w:t>月</w:t>
      </w:r>
      <w:r>
        <w:rPr>
          <w:spacing w:val="-53"/>
        </w:rPr>
        <w:t> </w:t>
      </w:r>
      <w:r>
        <w:rPr/>
        <w:t>31</w:t>
      </w:r>
      <w:r>
        <w:rPr>
          <w:spacing w:val="-55"/>
        </w:rPr>
        <w:t> </w:t>
      </w:r>
      <w:r>
        <w:rPr/>
        <w:t>日止。</w:t>
      </w:r>
      <w:r>
        <w:rPr>
          <w:w w:val="100"/>
        </w:rPr>
        <w:t> </w:t>
      </w:r>
      <w:r>
        <w:rPr>
          <w:rFonts w:ascii="宋体" w:hAnsi="宋体" w:cs="宋体" w:eastAsia="宋体" w:hint="default"/>
          <w:b/>
          <w:bCs/>
        </w:rPr>
        <w:t>2、营业周期</w:t>
      </w:r>
      <w:r>
        <w:rPr>
          <w:rFonts w:ascii="宋体" w:hAnsi="宋体" w:cs="宋体" w:eastAsia="宋体" w:hint="default"/>
        </w:rPr>
      </w:r>
    </w:p>
    <w:p>
      <w:pPr>
        <w:pStyle w:val="BodyText"/>
        <w:spacing w:line="213" w:lineRule="exact" w:before="0"/>
        <w:ind w:right="46"/>
        <w:jc w:val="left"/>
      </w:pPr>
      <w:r>
        <w:rPr/>
        <w:t>正常营业周期是指本公司从购买用于加工的资产起至实现现金或现金等价物的期间。本公司以</w:t>
      </w:r>
    </w:p>
    <w:p>
      <w:pPr>
        <w:pStyle w:val="BodyText"/>
        <w:spacing w:line="240" w:lineRule="auto" w:before="37"/>
        <w:ind w:left="153" w:right="46"/>
        <w:jc w:val="left"/>
      </w:pPr>
      <w:r>
        <w:rPr/>
        <w:t>12</w:t>
      </w:r>
      <w:r>
        <w:rPr>
          <w:spacing w:val="2"/>
        </w:rPr>
        <w:t> </w:t>
      </w:r>
      <w:r>
        <w:rPr>
          <w:spacing w:val="-2"/>
        </w:rPr>
        <w:t>个月作为一个营业周期，并以其作为资产和负债的流动性划分标准。</w:t>
      </w:r>
    </w:p>
    <w:p>
      <w:pPr>
        <w:pStyle w:val="BodyText"/>
        <w:spacing w:line="256" w:lineRule="auto" w:before="106"/>
        <w:ind w:left="580" w:right="46" w:hanging="5"/>
        <w:jc w:val="left"/>
      </w:pPr>
      <w:r>
        <w:rPr>
          <w:rFonts w:ascii="宋体" w:hAnsi="宋体" w:cs="宋体" w:eastAsia="宋体" w:hint="default"/>
          <w:b/>
          <w:bCs/>
        </w:rPr>
        <w:t>3、记账本位币</w:t>
      </w:r>
      <w:r>
        <w:rPr>
          <w:rFonts w:ascii="宋体" w:hAnsi="宋体" w:cs="宋体" w:eastAsia="宋体" w:hint="default"/>
          <w:b/>
          <w:bCs/>
          <w:spacing w:val="-104"/>
        </w:rPr>
        <w:t> </w:t>
      </w:r>
      <w:r>
        <w:rPr>
          <w:rFonts w:ascii="宋体" w:hAnsi="宋体" w:cs="宋体" w:eastAsia="宋体" w:hint="default"/>
          <w:b/>
          <w:bCs/>
          <w:spacing w:val="-104"/>
        </w:rPr>
      </w:r>
      <w:r>
        <w:rPr>
          <w:spacing w:val="-2"/>
        </w:rPr>
        <w:t>人民币为本公司及境内子公司经营所处的主要经济环境中的货币，本公司及境内子公司以人民</w:t>
      </w:r>
    </w:p>
    <w:p>
      <w:pPr>
        <w:pStyle w:val="BodyText"/>
        <w:spacing w:line="240" w:lineRule="auto" w:before="22"/>
        <w:ind w:left="160" w:right="46"/>
        <w:jc w:val="left"/>
      </w:pPr>
      <w:r>
        <w:rPr/>
        <w:t>币为记账本位币。本公司编制本财务报表时所采用的货币为人民币。</w:t>
      </w:r>
    </w:p>
    <w:p>
      <w:pPr>
        <w:spacing w:line="256" w:lineRule="auto" w:before="107"/>
        <w:ind w:left="573" w:right="46" w:firstLine="2"/>
        <w:jc w:val="left"/>
        <w:rPr>
          <w:rFonts w:ascii="宋体" w:hAnsi="宋体" w:cs="宋体" w:eastAsia="宋体" w:hint="default"/>
          <w:sz w:val="21"/>
          <w:szCs w:val="21"/>
        </w:rPr>
      </w:pPr>
      <w:r>
        <w:rPr>
          <w:rFonts w:ascii="宋体" w:hAnsi="宋体" w:cs="宋体" w:eastAsia="宋体" w:hint="default"/>
          <w:b/>
          <w:bCs/>
          <w:sz w:val="21"/>
          <w:szCs w:val="21"/>
        </w:rPr>
        <w:t>4、同一控制下和非同一控制下企业合并的会计处理方法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w:t>
      </w:r>
    </w:p>
    <w:p>
      <w:pPr>
        <w:pStyle w:val="BodyText"/>
        <w:spacing w:line="240" w:lineRule="auto" w:before="22"/>
        <w:ind w:left="153" w:right="46"/>
        <w:jc w:val="left"/>
      </w:pPr>
      <w:r>
        <w:rPr/>
        <w:t>分为同一控制下企业合并和非同一控制下企业合并。</w:t>
      </w:r>
    </w:p>
    <w:p>
      <w:pPr>
        <w:pStyle w:val="BodyText"/>
        <w:spacing w:line="273" w:lineRule="auto" w:before="37"/>
        <w:ind w:right="46"/>
        <w:jc w:val="left"/>
      </w:pPr>
      <w:r>
        <w:rPr/>
        <w:t>（1）同一控制下企业合并</w:t>
      </w:r>
      <w:r>
        <w:rPr>
          <w:w w:val="100"/>
        </w:rPr>
        <w:t> </w:t>
      </w:r>
      <w:r>
        <w:rPr>
          <w:spacing w:val="-2"/>
        </w:rPr>
        <w:t>参与合并的企业在合并前后均受同一方或相同的多方最终控制，且该控制并非暂时性的，为同</w:t>
      </w:r>
    </w:p>
    <w:p>
      <w:pPr>
        <w:pStyle w:val="BodyText"/>
        <w:spacing w:line="273" w:lineRule="auto"/>
        <w:ind w:left="153" w:right="46"/>
        <w:jc w:val="left"/>
      </w:pPr>
      <w:r>
        <w:rPr/>
        <w:t>一控制下的企业合并。同一控制下的企业合并，在合并日取得对其他参与合并企业控制权的一方为</w:t>
      </w:r>
      <w:r>
        <w:rPr>
          <w:w w:val="100"/>
        </w:rPr>
        <w:t> </w:t>
      </w:r>
      <w:r>
        <w:rPr>
          <w:spacing w:val="-5"/>
        </w:rPr>
        <w:t>合并方，参与合并的其他企业为被合并方。合并日，是指合并方实际取得对被合并方控制权的日期。</w:t>
      </w:r>
    </w:p>
    <w:p>
      <w:pPr>
        <w:pStyle w:val="BodyText"/>
        <w:spacing w:line="273" w:lineRule="auto" w:before="8"/>
        <w:ind w:left="153" w:right="210" w:firstLine="420"/>
        <w:jc w:val="both"/>
      </w:pPr>
      <w:r>
        <w:rPr>
          <w:spacing w:val="-2"/>
        </w:rPr>
        <w:t>合并方取得的资产和负债均按合并日在被合并方的账面价值计量。合并方取得的净资产账面价</w:t>
      </w:r>
      <w:r>
        <w:rPr>
          <w:w w:val="100"/>
        </w:rPr>
        <w:t> </w:t>
      </w:r>
      <w:r>
        <w:rPr>
          <w:spacing w:val="-2"/>
          <w:w w:val="100"/>
        </w:rPr>
        <w:t>值与支付的合并对价账面价值（或发行股份面值总额）的差额，调整资本公积（股本溢价）；资本</w:t>
      </w:r>
      <w:r>
        <w:rPr>
          <w:spacing w:val="-94"/>
          <w:w w:val="100"/>
        </w:rPr>
        <w:t> </w:t>
      </w:r>
      <w:r>
        <w:rPr>
          <w:spacing w:val="-94"/>
          <w:w w:val="100"/>
        </w:rPr>
      </w:r>
      <w:r>
        <w:rPr/>
        <w:t>公积（股本溢价）不足以冲减的，调整留存收益。</w:t>
      </w:r>
    </w:p>
    <w:p>
      <w:pPr>
        <w:pStyle w:val="BodyText"/>
        <w:spacing w:line="240" w:lineRule="auto"/>
        <w:ind w:right="46"/>
        <w:jc w:val="left"/>
      </w:pPr>
      <w:r>
        <w:rPr/>
        <w:t>合并方为进行企业合并发生的各项直接费用，于发生时计入当期损益。</w:t>
      </w:r>
    </w:p>
    <w:p>
      <w:pPr>
        <w:pStyle w:val="BodyText"/>
        <w:spacing w:line="273" w:lineRule="auto" w:before="37"/>
        <w:ind w:right="46"/>
        <w:jc w:val="left"/>
      </w:pPr>
      <w:r>
        <w:rPr/>
        <w:t>（2）非同一控制下企业合并</w:t>
      </w:r>
      <w:r>
        <w:rPr>
          <w:w w:val="100"/>
        </w:rPr>
        <w:t> </w:t>
      </w:r>
      <w:r>
        <w:rPr>
          <w:spacing w:val="2"/>
        </w:rPr>
        <w:t>参与合并的企业在合并前后不受同一方或相同的多方最终控制的，为非同一控制下的企业合</w:t>
      </w:r>
    </w:p>
    <w:p>
      <w:pPr>
        <w:pStyle w:val="BodyText"/>
        <w:spacing w:line="273" w:lineRule="auto"/>
        <w:ind w:left="153" w:right="212"/>
        <w:jc w:val="both"/>
      </w:pPr>
      <w:r>
        <w:rPr>
          <w:spacing w:val="-2"/>
        </w:rPr>
        <w:t>并。非同一控制下的企业合并，在购买日取得对其他参与合并企业控制权的一方为购买方，参与合</w:t>
      </w:r>
      <w:r>
        <w:rPr>
          <w:spacing w:val="-46"/>
        </w:rPr>
        <w:t> </w:t>
      </w:r>
      <w:r>
        <w:rPr>
          <w:spacing w:val="-46"/>
        </w:rPr>
      </w:r>
      <w:r>
        <w:rPr/>
        <w:t>并的其他企业为被购买方。购买日，是指为购买方实际取得对被购买方控制权的日期。</w:t>
      </w:r>
    </w:p>
    <w:p>
      <w:pPr>
        <w:pStyle w:val="BodyText"/>
        <w:spacing w:line="273" w:lineRule="auto"/>
        <w:ind w:left="153" w:right="46" w:firstLine="420"/>
        <w:jc w:val="left"/>
      </w:pPr>
      <w:r>
        <w:rPr/>
        <w:t>对于非同一控制下的企业合并，合并成本包含购买日购买方为取得对被购买方的控制权而付出</w:t>
      </w:r>
      <w:r>
        <w:rPr>
          <w:w w:val="100"/>
        </w:rPr>
        <w:t> </w:t>
      </w:r>
      <w:r>
        <w:rPr>
          <w:spacing w:val="-5"/>
        </w:rPr>
        <w:t>的资产、发生或承担的负债以及发行的权益性证券的公允价值，为企业合并发生的审计、法律服务、</w:t>
      </w:r>
      <w:r>
        <w:rPr>
          <w:spacing w:val="-12"/>
        </w:rPr>
        <w:t> </w:t>
      </w:r>
      <w:r>
        <w:rPr>
          <w:spacing w:val="-12"/>
        </w:rPr>
      </w:r>
      <w:r>
        <w:rPr/>
        <w:t>评估咨询等中介费用以及其他管理费用于发生时计入当期损益。购买方作为合并对价发行的权益性</w:t>
      </w:r>
      <w:r>
        <w:rPr>
          <w:w w:val="100"/>
        </w:rPr>
        <w:t> </w:t>
      </w:r>
      <w:r>
        <w:rPr/>
        <w:t>证券或债务性证券的交易费用，计入权益性证券或债务性证券的初始确认金额。所涉及的或有对价</w:t>
      </w:r>
      <w:r>
        <w:rPr>
          <w:w w:val="100"/>
        </w:rPr>
        <w:t> </w:t>
      </w:r>
      <w:r>
        <w:rPr/>
        <w:t>按其在购买日的公允价值计入合并成本，购买日后 12</w:t>
      </w:r>
      <w:r>
        <w:rPr>
          <w:spacing w:val="-23"/>
        </w:rPr>
        <w:t> </w:t>
      </w:r>
      <w:r>
        <w:rPr/>
        <w:t>个月内出现对购买日已存在情况的新的或进</w:t>
      </w:r>
    </w:p>
    <w:p>
      <w:pPr>
        <w:spacing w:after="0" w:line="273" w:lineRule="auto"/>
        <w:jc w:val="left"/>
        <w:sectPr>
          <w:pgSz w:w="11910" w:h="16840"/>
          <w:pgMar w:header="884" w:footer="1219" w:top="1140" w:bottom="1400" w:left="1320" w:right="1200"/>
        </w:sectPr>
      </w:pPr>
    </w:p>
    <w:p>
      <w:pPr>
        <w:pStyle w:val="BodyText"/>
        <w:spacing w:line="273" w:lineRule="auto" w:before="131"/>
        <w:ind w:left="153" w:right="130"/>
        <w:jc w:val="both"/>
      </w:pPr>
      <w:r>
        <w:rPr>
          <w:spacing w:val="-2"/>
        </w:rPr>
        <w:t>一步证据而需要调整或有对价的，相应调整合并商誉。购买方发生的合并成本及在合并中取得的可</w:t>
      </w:r>
      <w:r>
        <w:rPr>
          <w:spacing w:val="-45"/>
        </w:rPr>
        <w:t> </w:t>
      </w:r>
      <w:r>
        <w:rPr>
          <w:spacing w:val="-45"/>
        </w:rPr>
      </w:r>
      <w:r>
        <w:rPr>
          <w:spacing w:val="-2"/>
        </w:rPr>
        <w:t>辨认净资产按购买日的公允价值计量。合并成本大于合并中取得的被购买方于购买日可辨认净资产</w:t>
      </w:r>
      <w:r>
        <w:rPr>
          <w:spacing w:val="-43"/>
        </w:rPr>
        <w:t> </w:t>
      </w:r>
      <w:r>
        <w:rPr>
          <w:spacing w:val="-43"/>
        </w:rPr>
      </w:r>
      <w:r>
        <w:rPr>
          <w:spacing w:val="-2"/>
        </w:rPr>
        <w:t>公允价值份额的差额，确认为商誉。合并成本小于合并中取得的被购买方可辨认净资产公允价值份</w:t>
      </w:r>
      <w:r>
        <w:rPr>
          <w:spacing w:val="-46"/>
        </w:rPr>
        <w:t> </w:t>
      </w:r>
      <w:r>
        <w:rPr>
          <w:spacing w:val="-46"/>
        </w:rPr>
      </w:r>
      <w:r>
        <w:rPr>
          <w:spacing w:val="-2"/>
        </w:rPr>
        <w:t>额的，首先对取得的被购买方各项可辨认资产、负债及或有负债的公允价值以及合并成本的计量进</w:t>
      </w:r>
      <w:r>
        <w:rPr>
          <w:spacing w:val="-46"/>
        </w:rPr>
        <w:t> </w:t>
      </w:r>
      <w:r>
        <w:rPr>
          <w:spacing w:val="-46"/>
        </w:rPr>
      </w:r>
      <w:r>
        <w:rPr>
          <w:spacing w:val="-2"/>
        </w:rPr>
        <w:t>行复核，复核后合并成本仍小于合并中取得的被购买方可辨认净资产公允价值份额的，其差额计入</w:t>
      </w:r>
      <w:r>
        <w:rPr>
          <w:spacing w:val="-43"/>
        </w:rPr>
        <w:t> </w:t>
      </w:r>
      <w:r>
        <w:rPr>
          <w:spacing w:val="-43"/>
        </w:rPr>
      </w:r>
      <w:r>
        <w:rPr/>
        <w:t>当期损益。</w:t>
      </w:r>
    </w:p>
    <w:p>
      <w:pPr>
        <w:pStyle w:val="BodyText"/>
        <w:spacing w:line="273" w:lineRule="auto"/>
        <w:ind w:left="153" w:right="130" w:firstLine="420"/>
        <w:jc w:val="both"/>
      </w:pPr>
      <w:r>
        <w:rPr>
          <w:spacing w:val="-2"/>
        </w:rPr>
        <w:t>购买方取得被购买方的可抵扣暂时性差异，在购买日因不符合递延所得税资产确认条件而未予</w:t>
      </w:r>
      <w:r>
        <w:rPr>
          <w:w w:val="100"/>
        </w:rPr>
        <w:t> </w:t>
      </w:r>
      <w:r>
        <w:rPr/>
        <w:t>确认的，在购买日后 12</w:t>
      </w:r>
      <w:r>
        <w:rPr>
          <w:spacing w:val="-23"/>
        </w:rPr>
        <w:t> </w:t>
      </w:r>
      <w:r>
        <w:rPr/>
        <w:t>个月内，如取得新的或进一步的信息表明购买日的相关情况已经存在，预</w:t>
      </w:r>
      <w:r>
        <w:rPr>
          <w:w w:val="100"/>
        </w:rPr>
        <w:t> </w:t>
      </w:r>
      <w:r>
        <w:rPr>
          <w:spacing w:val="2"/>
        </w:rPr>
        <w:t>期被购买方在购买日可抵扣暂时性差异带来的经济利益能够实现的，则确认相关的递延所得税资</w:t>
      </w:r>
      <w:r>
        <w:rPr>
          <w:spacing w:val="-20"/>
        </w:rPr>
        <w:t> </w:t>
      </w:r>
      <w:r>
        <w:rPr>
          <w:spacing w:val="-20"/>
        </w:rPr>
      </w:r>
      <w:r>
        <w:rPr>
          <w:spacing w:val="-2"/>
        </w:rPr>
        <w:t>产，同时减少商誉，商誉不足冲减的，差额部分确认为当期损益；除上述情况以外，确认与企业合</w:t>
      </w:r>
      <w:r>
        <w:rPr>
          <w:spacing w:val="-45"/>
        </w:rPr>
        <w:t> </w:t>
      </w:r>
      <w:r>
        <w:rPr>
          <w:spacing w:val="-45"/>
        </w:rPr>
      </w:r>
      <w:r>
        <w:rPr/>
        <w:t>并相关的递延所得税资产的，计入当期损益。</w:t>
      </w:r>
    </w:p>
    <w:p>
      <w:pPr>
        <w:pStyle w:val="BodyText"/>
        <w:spacing w:line="237" w:lineRule="auto" w:before="0"/>
        <w:ind w:left="153" w:right="130" w:firstLine="420"/>
        <w:jc w:val="both"/>
      </w:pPr>
      <w:r>
        <w:rPr>
          <w:spacing w:val="-2"/>
        </w:rPr>
        <w:t>通过多次交易分步实现的非同一控制下企业合并，根据《财政部关于印发企业会计准则解释第</w:t>
      </w:r>
      <w:r>
        <w:rPr>
          <w:w w:val="100"/>
        </w:rPr>
        <w:t> 5</w:t>
      </w:r>
      <w:r>
        <w:rPr>
          <w:spacing w:val="-49"/>
          <w:w w:val="100"/>
        </w:rPr>
        <w:t> </w:t>
      </w:r>
      <w:r>
        <w:rPr>
          <w:spacing w:val="-9"/>
          <w:w w:val="100"/>
        </w:rPr>
        <w:t>号的通知》（财会〔2012〕19</w:t>
      </w:r>
      <w:r>
        <w:rPr>
          <w:spacing w:val="-52"/>
          <w:w w:val="100"/>
        </w:rPr>
        <w:t> </w:t>
      </w:r>
      <w:r>
        <w:rPr>
          <w:spacing w:val="-2"/>
          <w:w w:val="100"/>
        </w:rPr>
        <w:t>号）和《企业会计准则第</w:t>
      </w:r>
      <w:r>
        <w:rPr>
          <w:spacing w:val="-49"/>
          <w:w w:val="100"/>
        </w:rPr>
        <w:t> </w:t>
      </w:r>
      <w:r>
        <w:rPr>
          <w:spacing w:val="-2"/>
          <w:w w:val="100"/>
        </w:rPr>
        <w:t>33</w:t>
      </w:r>
      <w:r>
        <w:rPr>
          <w:spacing w:val="-49"/>
          <w:w w:val="100"/>
        </w:rPr>
        <w:t> </w:t>
      </w:r>
      <w:r>
        <w:rPr>
          <w:spacing w:val="-2"/>
          <w:w w:val="100"/>
        </w:rPr>
        <w:t>号——合并财务报表》第五十一条关于</w:t>
      </w:r>
      <w:r>
        <w:rPr>
          <w:spacing w:val="-104"/>
          <w:w w:val="100"/>
        </w:rPr>
        <w:t> </w:t>
      </w:r>
      <w:r>
        <w:rPr>
          <w:spacing w:val="-104"/>
          <w:w w:val="100"/>
        </w:rPr>
      </w:r>
      <w:r>
        <w:rPr>
          <w:spacing w:val="-2"/>
          <w:w w:val="100"/>
        </w:rPr>
        <w:t>“一揽子交易”的判断标准，判断该多次交易是否属于“一揽子交易”。属于“一揽子交易”的，</w:t>
      </w:r>
      <w:r>
        <w:rPr>
          <w:spacing w:val="-92"/>
          <w:w w:val="100"/>
        </w:rPr>
        <w:t> </w:t>
      </w:r>
      <w:r>
        <w:rPr>
          <w:spacing w:val="-92"/>
          <w:w w:val="100"/>
        </w:rPr>
      </w:r>
      <w:r>
        <w:rPr>
          <w:spacing w:val="-2"/>
        </w:rPr>
        <w:t>参考本部分前面各段描述及长期股权投资进行会计处理；不属于“一揽子交易”的，区分个别财务</w:t>
      </w:r>
      <w:r>
        <w:rPr>
          <w:spacing w:val="-43"/>
        </w:rPr>
        <w:t> </w:t>
      </w:r>
      <w:r>
        <w:rPr>
          <w:spacing w:val="-43"/>
        </w:rPr>
      </w:r>
      <w:r>
        <w:rPr/>
        <w:t>报表和合并财务报表进行相关会计处理：</w:t>
      </w:r>
    </w:p>
    <w:p>
      <w:pPr>
        <w:pStyle w:val="BodyText"/>
        <w:spacing w:line="237" w:lineRule="auto" w:before="1"/>
        <w:ind w:left="153" w:right="130" w:firstLine="420"/>
        <w:jc w:val="both"/>
      </w:pPr>
      <w:r>
        <w:rPr>
          <w:spacing w:val="-2"/>
        </w:rPr>
        <w:t>在个别财务报表中，以购买日之前所持被购买方的股权投资的账面价值与购买日新增投资成本</w:t>
      </w:r>
      <w:r>
        <w:rPr>
          <w:w w:val="100"/>
        </w:rPr>
        <w:t> </w:t>
      </w:r>
      <w:r>
        <w:rPr>
          <w:spacing w:val="-2"/>
        </w:rPr>
        <w:t>之和，作为该项投资的初始投资成本；购买日之前持有的被购买方的股权涉及其他综合收益的，在</w:t>
      </w:r>
      <w:r>
        <w:rPr>
          <w:spacing w:val="-46"/>
        </w:rPr>
        <w:t> </w:t>
      </w:r>
      <w:r>
        <w:rPr>
          <w:spacing w:val="-46"/>
        </w:rPr>
      </w:r>
      <w:r>
        <w:rPr>
          <w:spacing w:val="2"/>
        </w:rPr>
        <w:t>处置该项投资时将与其相关的其他综合收益采用与被购买方直接处置相关资产或负债相同的基础</w:t>
      </w:r>
      <w:r>
        <w:rPr>
          <w:spacing w:val="-20"/>
        </w:rPr>
        <w:t> </w:t>
      </w:r>
      <w:r>
        <w:rPr>
          <w:spacing w:val="-20"/>
        </w:rPr>
      </w:r>
      <w:r>
        <w:rPr>
          <w:spacing w:val="-2"/>
        </w:rPr>
        <w:t>进行会计处理（即，除了按照权益法核算的在被购买方重新计量设定受益计划净负债或净资产导致</w:t>
      </w:r>
      <w:r>
        <w:rPr>
          <w:spacing w:val="-42"/>
        </w:rPr>
        <w:t> </w:t>
      </w:r>
      <w:r>
        <w:rPr>
          <w:spacing w:val="-42"/>
        </w:rPr>
      </w:r>
      <w:r>
        <w:rPr>
          <w:spacing w:val="-6"/>
          <w:w w:val="100"/>
        </w:rPr>
        <w:t>的变动中的相应份额以外，其余转入当期投资收益）。</w:t>
      </w:r>
    </w:p>
    <w:p>
      <w:pPr>
        <w:pStyle w:val="BodyText"/>
        <w:spacing w:line="237" w:lineRule="auto" w:before="0"/>
        <w:ind w:left="153" w:right="130" w:firstLine="420"/>
        <w:jc w:val="both"/>
      </w:pPr>
      <w:r>
        <w:rPr>
          <w:spacing w:val="-2"/>
        </w:rPr>
        <w:t>在合并财务报表中，对于购买日之前持有的被购买方的股权，按照该股权在购买日的公允价值</w:t>
      </w:r>
      <w:r>
        <w:rPr>
          <w:w w:val="100"/>
        </w:rPr>
        <w:t> </w:t>
      </w:r>
      <w:r>
        <w:rPr>
          <w:spacing w:val="-2"/>
        </w:rPr>
        <w:t>进行重新计量，公允价值与其账面价值的差额计入当期投资收益；购买日之前持有的被购买方的股</w:t>
      </w:r>
      <w:r>
        <w:rPr>
          <w:spacing w:val="-47"/>
        </w:rPr>
        <w:t> </w:t>
      </w:r>
      <w:r>
        <w:rPr>
          <w:spacing w:val="-47"/>
        </w:rPr>
      </w:r>
      <w:r>
        <w:rPr>
          <w:spacing w:val="-2"/>
        </w:rPr>
        <w:t>权涉及其他综合收益的，与其相关的其他综合收益应当采用与被购买方直接处置相关资产或负债相</w:t>
      </w:r>
      <w:r>
        <w:rPr>
          <w:spacing w:val="-42"/>
        </w:rPr>
        <w:t> </w:t>
      </w:r>
      <w:r>
        <w:rPr>
          <w:spacing w:val="-42"/>
        </w:rPr>
      </w:r>
      <w:r>
        <w:rPr>
          <w:spacing w:val="-2"/>
        </w:rPr>
        <w:t>同的基础进行会计处理（即，除了按照权益法核算的在被购买方重新计量设定受益计划净负债或净</w:t>
      </w:r>
      <w:r>
        <w:rPr>
          <w:spacing w:val="-45"/>
        </w:rPr>
        <w:t> </w:t>
      </w:r>
      <w:r>
        <w:rPr>
          <w:spacing w:val="-45"/>
        </w:rPr>
      </w:r>
      <w:r>
        <w:rPr>
          <w:spacing w:val="-5"/>
          <w:w w:val="100"/>
        </w:rPr>
        <w:t>资产导致的变动中的相应份额以外，其余转为购买日所属当期投资收益）。</w:t>
      </w:r>
    </w:p>
    <w:p>
      <w:pPr>
        <w:spacing w:before="88"/>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5、合并财务报表的编制方法</w:t>
      </w:r>
      <w:r>
        <w:rPr>
          <w:rFonts w:ascii="宋体" w:hAnsi="宋体" w:cs="宋体" w:eastAsia="宋体" w:hint="default"/>
          <w:sz w:val="21"/>
          <w:szCs w:val="21"/>
        </w:rPr>
      </w:r>
    </w:p>
    <w:p>
      <w:pPr>
        <w:pStyle w:val="BodyText"/>
        <w:spacing w:line="273" w:lineRule="auto" w:before="22"/>
        <w:ind w:right="0"/>
        <w:jc w:val="left"/>
      </w:pPr>
      <w:r>
        <w:rPr/>
        <w:t>（1）合并财务报表范围的确定原则</w:t>
      </w:r>
      <w:r>
        <w:rPr>
          <w:w w:val="100"/>
        </w:rPr>
        <w:t> </w:t>
      </w:r>
      <w:r>
        <w:rPr>
          <w:spacing w:val="-2"/>
        </w:rPr>
        <w:t>合并财务报表的合并范围以控制为基础予以确定。控制是指本公司拥有对被投资方的权力，通</w:t>
      </w:r>
    </w:p>
    <w:p>
      <w:pPr>
        <w:pStyle w:val="BodyText"/>
        <w:spacing w:line="273" w:lineRule="auto"/>
        <w:ind w:left="153" w:right="113"/>
        <w:jc w:val="both"/>
      </w:pPr>
      <w:r>
        <w:rPr>
          <w:spacing w:val="-2"/>
        </w:rPr>
        <w:t>过参与被投资方的相关活动而享有可变回报，并且有能力运用对被投资方的权力影响该回报金额。</w:t>
      </w:r>
      <w:r>
        <w:rPr>
          <w:spacing w:val="-25"/>
        </w:rPr>
        <w:t> </w:t>
      </w:r>
      <w:r>
        <w:rPr>
          <w:spacing w:val="-25"/>
        </w:rPr>
      </w:r>
      <w:r>
        <w:rPr/>
        <w:t>合并范围包括本公司及全部子公司。子公司，是指被本公司控制的企业或主体。</w:t>
      </w:r>
    </w:p>
    <w:p>
      <w:pPr>
        <w:pStyle w:val="BodyText"/>
        <w:spacing w:line="273" w:lineRule="auto"/>
        <w:ind w:left="153" w:right="130" w:firstLine="420"/>
        <w:jc w:val="both"/>
      </w:pPr>
      <w:r>
        <w:rPr>
          <w:spacing w:val="-2"/>
        </w:rPr>
        <w:t>一旦相关事实和情况的变化导致上述控制定义涉及的相关要素发生了变化，本公司将进行重新</w:t>
      </w:r>
      <w:r>
        <w:rPr>
          <w:w w:val="100"/>
        </w:rPr>
        <w:t> </w:t>
      </w:r>
      <w:r>
        <w:rPr/>
        <w:t>评估。</w:t>
      </w:r>
    </w:p>
    <w:p>
      <w:pPr>
        <w:pStyle w:val="BodyText"/>
        <w:spacing w:line="273" w:lineRule="auto"/>
        <w:ind w:right="0"/>
        <w:jc w:val="left"/>
      </w:pPr>
      <w:r>
        <w:rPr/>
        <w:t>（2）合并财务报表编制的方法</w:t>
      </w:r>
      <w:r>
        <w:rPr>
          <w:w w:val="100"/>
        </w:rPr>
        <w:t> </w:t>
      </w:r>
      <w:r>
        <w:rPr>
          <w:spacing w:val="-2"/>
        </w:rPr>
        <w:t>从取得子公司的净资产和生产经营决策的实际控制权之日起，本公司开始将其纳入合并范围；</w:t>
      </w:r>
    </w:p>
    <w:p>
      <w:pPr>
        <w:pStyle w:val="BodyText"/>
        <w:spacing w:line="273" w:lineRule="auto"/>
        <w:ind w:left="153" w:right="130"/>
        <w:jc w:val="both"/>
      </w:pPr>
      <w:r>
        <w:rPr>
          <w:spacing w:val="-2"/>
        </w:rPr>
        <w:t>从丧失实际控制权之日起停止纳入合并范围。对于处置的子公司，处置日前的经营成果和现金流量</w:t>
      </w:r>
      <w:r>
        <w:rPr>
          <w:spacing w:val="-47"/>
        </w:rPr>
        <w:t> </w:t>
      </w:r>
      <w:r>
        <w:rPr>
          <w:spacing w:val="-47"/>
        </w:rPr>
      </w:r>
      <w:r>
        <w:rPr>
          <w:spacing w:val="-2"/>
        </w:rPr>
        <w:t>已经适当地包括在合并利润表和合并现金流量表中；当期处置的子公司，不调整合并资产负债表的</w:t>
      </w:r>
      <w:r>
        <w:rPr>
          <w:spacing w:val="-44"/>
        </w:rPr>
        <w:t> </w:t>
      </w:r>
      <w:r>
        <w:rPr>
          <w:spacing w:val="-44"/>
        </w:rPr>
      </w:r>
      <w:r>
        <w:rPr>
          <w:spacing w:val="-2"/>
        </w:rPr>
        <w:t>期初数。非同一控制下企业合并增加的子公司，其购买日后的经营成果及现金流量已经适当地包括</w:t>
      </w:r>
      <w:r>
        <w:rPr>
          <w:spacing w:val="-45"/>
        </w:rPr>
        <w:t> </w:t>
      </w:r>
      <w:r>
        <w:rPr>
          <w:spacing w:val="-45"/>
        </w:rPr>
      </w:r>
      <w:r>
        <w:rPr>
          <w:spacing w:val="-2"/>
        </w:rPr>
        <w:t>在合并利润表和合并现金流量表中，且不调整合并财务报表的期初数和对比数。同一控制下企业合</w:t>
      </w:r>
      <w:r>
        <w:rPr>
          <w:spacing w:val="-43"/>
        </w:rPr>
        <w:t> </w:t>
      </w:r>
      <w:r>
        <w:rPr>
          <w:spacing w:val="-43"/>
        </w:rPr>
      </w:r>
      <w:r>
        <w:rPr>
          <w:spacing w:val="-2"/>
        </w:rPr>
        <w:t>并增加的子公司，其自合并当期期初至合并日的经营成果和现金流量已经适当地包括在合并利润表</w:t>
      </w:r>
      <w:r>
        <w:rPr>
          <w:spacing w:val="-42"/>
        </w:rPr>
        <w:t> </w:t>
      </w:r>
      <w:r>
        <w:rPr>
          <w:spacing w:val="-42"/>
        </w:rPr>
      </w:r>
      <w:r>
        <w:rPr/>
        <w:t>和合并现金流量表中，并且同时调整合并财务报表的对比数。</w:t>
      </w:r>
    </w:p>
    <w:p>
      <w:pPr>
        <w:pStyle w:val="BodyText"/>
        <w:spacing w:line="273" w:lineRule="auto" w:before="8"/>
        <w:ind w:left="153" w:right="130" w:firstLine="420"/>
        <w:jc w:val="both"/>
      </w:pPr>
      <w:r>
        <w:rPr>
          <w:spacing w:val="-2"/>
        </w:rPr>
        <w:t>在编制合并财务报表时，子公司与本公司采用的会计政策或会计期间不一致的，按照本公司的</w:t>
      </w:r>
      <w:r>
        <w:rPr>
          <w:w w:val="100"/>
        </w:rPr>
        <w:t> </w:t>
      </w:r>
      <w:r>
        <w:rPr>
          <w:spacing w:val="2"/>
        </w:rPr>
        <w:t>会计政策和会计期间对子公司财务报表进行必要的调整。对于非同一控制下企业合并取得的子公</w:t>
      </w:r>
      <w:r>
        <w:rPr>
          <w:spacing w:val="-20"/>
        </w:rPr>
        <w:t> </w:t>
      </w:r>
      <w:r>
        <w:rPr>
          <w:spacing w:val="-20"/>
        </w:rPr>
      </w:r>
      <w:r>
        <w:rPr/>
        <w:t>司，以购买日可辨认净资产公允价值为基础对其财务报表进行调整。</w:t>
      </w:r>
    </w:p>
    <w:p>
      <w:pPr>
        <w:pStyle w:val="BodyText"/>
        <w:spacing w:line="273" w:lineRule="auto"/>
        <w:ind w:right="0"/>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spacing w:after="0" w:line="273" w:lineRule="auto"/>
        <w:jc w:val="left"/>
        <w:sectPr>
          <w:pgSz w:w="11910" w:h="16840"/>
          <w:pgMar w:header="884" w:footer="1219" w:top="1140" w:bottom="1400" w:left="1320" w:right="1280"/>
        </w:sectPr>
      </w:pPr>
    </w:p>
    <w:p>
      <w:pPr>
        <w:pStyle w:val="BodyText"/>
        <w:spacing w:line="273" w:lineRule="auto" w:before="131"/>
        <w:ind w:left="153" w:right="210"/>
        <w:jc w:val="both"/>
      </w:pPr>
      <w:r>
        <w:rPr>
          <w:spacing w:val="-2"/>
        </w:rPr>
        <w:t>股东损益在合并财务报表中股东权益及净利润项下单独列示。子公司当期净损益中属于少数股东权</w:t>
      </w:r>
      <w:r>
        <w:rPr>
          <w:spacing w:val="-42"/>
        </w:rPr>
        <w:t> </w:t>
      </w:r>
      <w:r>
        <w:rPr>
          <w:spacing w:val="-42"/>
        </w:rPr>
      </w:r>
      <w:r>
        <w:rPr/>
        <w:t>益的份额，在合并利润表中净利润项目下以“少数股东损益”项目列示。</w:t>
      </w:r>
    </w:p>
    <w:p>
      <w:pPr>
        <w:pStyle w:val="BodyText"/>
        <w:spacing w:line="273" w:lineRule="auto"/>
        <w:ind w:left="153" w:right="210" w:firstLine="420"/>
        <w:jc w:val="both"/>
      </w:pPr>
      <w:r>
        <w:rPr>
          <w:spacing w:val="-2"/>
        </w:rPr>
        <w:t>少数股东分担的子公司的亏损超过了少数股东在该子公司期初股东权益中所享有的份额，冲减</w:t>
      </w:r>
      <w:r>
        <w:rPr>
          <w:w w:val="100"/>
        </w:rPr>
        <w:t> </w:t>
      </w:r>
      <w:r>
        <w:rPr/>
        <w:t>少数股东权益。</w:t>
      </w:r>
    </w:p>
    <w:p>
      <w:pPr>
        <w:pStyle w:val="BodyText"/>
        <w:spacing w:line="273" w:lineRule="auto"/>
        <w:ind w:left="153" w:right="210" w:firstLine="420"/>
        <w:jc w:val="both"/>
      </w:pPr>
      <w:r>
        <w:rPr>
          <w:spacing w:val="-2"/>
        </w:rPr>
        <w:t>当因处置部分股权投资或其他原因丧失了对原有子公司的控制权时，对于剩余股权，按照其在</w:t>
      </w:r>
      <w:r>
        <w:rPr>
          <w:w w:val="100"/>
        </w:rPr>
        <w:t> </w:t>
      </w:r>
      <w:r>
        <w:rPr>
          <w:spacing w:val="-2"/>
        </w:rPr>
        <w:t>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持股比例计算应享有原有子公司自购买日开始持续计算的净资产的份额之间的差额，计入丧失控制</w:t>
      </w:r>
      <w:r>
        <w:rPr>
          <w:spacing w:val="-42"/>
        </w:rPr>
        <w:t> </w:t>
      </w:r>
      <w:r>
        <w:rPr>
          <w:spacing w:val="-42"/>
        </w:rPr>
      </w:r>
      <w:r>
        <w:rPr>
          <w:spacing w:val="-2"/>
        </w:rPr>
        <w:t>权当期的投资收益。与原有子公司股权投资相关的其他综合收益，在丧失控制权时采用与被购买方</w:t>
      </w:r>
      <w:r>
        <w:rPr>
          <w:spacing w:val="-47"/>
        </w:rPr>
        <w:t> </w:t>
      </w:r>
      <w:r>
        <w:rPr>
          <w:spacing w:val="-47"/>
        </w:rPr>
      </w:r>
      <w:r>
        <w:rPr>
          <w:spacing w:val="-2"/>
        </w:rPr>
        <w:t>直接处置相关资产或负债相同的基础进行会计处理（即，除了在该原有子公司重新计量设定受益计</w:t>
      </w:r>
      <w:r>
        <w:rPr>
          <w:spacing w:val="-42"/>
        </w:rPr>
        <w:t> </w:t>
      </w:r>
      <w:r>
        <w:rPr>
          <w:spacing w:val="-42"/>
        </w:rPr>
      </w:r>
      <w:r>
        <w:rPr>
          <w:spacing w:val="-2"/>
          <w:w w:val="100"/>
        </w:rPr>
        <w:t>划净负债或净资产导致的变动以外，其余一并转为当期投资收益）。其后，对该部分剩余股权按照</w:t>
      </w:r>
    </w:p>
    <w:p>
      <w:pPr>
        <w:pStyle w:val="BodyText"/>
        <w:spacing w:line="273" w:lineRule="auto"/>
        <w:ind w:left="153" w:right="213"/>
        <w:jc w:val="both"/>
      </w:pPr>
      <w:r>
        <w:rPr/>
        <w:t>《企业会计准则第</w:t>
      </w:r>
      <w:r>
        <w:rPr>
          <w:spacing w:val="-33"/>
        </w:rPr>
        <w:t> </w:t>
      </w:r>
      <w:r>
        <w:rPr/>
        <w:t>2</w:t>
      </w:r>
      <w:r>
        <w:rPr>
          <w:spacing w:val="-33"/>
        </w:rPr>
        <w:t> </w:t>
      </w:r>
      <w:r>
        <w:rPr/>
        <w:t>号——长期股权投资》或《企业会计准则第</w:t>
      </w:r>
      <w:r>
        <w:rPr>
          <w:spacing w:val="-33"/>
        </w:rPr>
        <w:t> </w:t>
      </w:r>
      <w:r>
        <w:rPr/>
        <w:t>22</w:t>
      </w:r>
      <w:r>
        <w:rPr>
          <w:spacing w:val="-35"/>
        </w:rPr>
        <w:t> </w:t>
      </w:r>
      <w:r>
        <w:rPr/>
        <w:t>号——金融工具确认和计量》</w:t>
      </w:r>
      <w:r>
        <w:rPr>
          <w:w w:val="100"/>
        </w:rPr>
        <w:t> </w:t>
      </w:r>
      <w:r>
        <w:rPr/>
        <w:t>等相关规定进行后续计量。</w:t>
      </w:r>
    </w:p>
    <w:p>
      <w:pPr>
        <w:pStyle w:val="BodyText"/>
        <w:spacing w:line="273" w:lineRule="auto" w:before="8"/>
        <w:ind w:left="153" w:right="46" w:firstLine="420"/>
        <w:jc w:val="left"/>
      </w:pPr>
      <w:r>
        <w:rPr/>
        <w:t>本公司通过多次交易分步处置对子公司股权投资直至丧失控制权的，需区分处置对子公司股权</w:t>
      </w:r>
      <w:r>
        <w:rPr>
          <w:w w:val="100"/>
        </w:rPr>
        <w:t> </w:t>
      </w:r>
      <w:r>
        <w:rPr/>
        <w:t>投资直至丧失控制权的各项交易是否属于一揽子交易。处置对子公司股权投资的各项交易的条款、</w:t>
      </w:r>
      <w:r>
        <w:rPr>
          <w:w w:val="100"/>
        </w:rPr>
        <w:t> </w:t>
      </w:r>
      <w:r>
        <w:rPr/>
        <w:t>条件以及经济影响符合以下一种或多种情况，通常表明应将多次交易事项作为一揽子交易进行会计</w:t>
      </w:r>
      <w:r>
        <w:rPr>
          <w:w w:val="100"/>
        </w:rPr>
        <w:t> </w:t>
      </w:r>
      <w:r>
        <w:rPr/>
        <w:t>处理：①这些交易是同时或者在考虑了彼此影响的情况下订立的；②这些交易整体才能达成一项完</w:t>
      </w:r>
      <w:r>
        <w:rPr>
          <w:w w:val="100"/>
        </w:rPr>
        <w:t> </w:t>
      </w:r>
      <w:r>
        <w:rPr>
          <w:spacing w:val="-5"/>
        </w:rPr>
        <w:t>整的商业结果；③一项交易的发生取决于其他至少一项交易的发生；④一项交易单独看是不经济的，</w:t>
      </w:r>
      <w:r>
        <w:rPr>
          <w:spacing w:val="-15"/>
        </w:rPr>
        <w:t> </w:t>
      </w:r>
      <w:r>
        <w:rPr>
          <w:spacing w:val="-15"/>
        </w:rPr>
      </w:r>
      <w:r>
        <w:rPr/>
        <w:t>但是和其他交易一并考虑时是经济的。不属于一揽子交易的，对其中的每一项交易视情况分别按照</w:t>
      </w:r>
      <w:r>
        <w:rPr>
          <w:w w:val="100"/>
        </w:rPr>
        <w:t> </w:t>
      </w:r>
      <w:r>
        <w:rPr/>
        <w:t>“不丧失控制权的情况下部分处置对子公司的长期股权投资”和“因处置部分股权投资或其他原因</w:t>
      </w:r>
      <w:r>
        <w:rPr>
          <w:w w:val="100"/>
        </w:rPr>
        <w:t> </w:t>
      </w:r>
      <w:r>
        <w:rPr>
          <w:spacing w:val="-2"/>
          <w:w w:val="100"/>
        </w:rPr>
        <w:t>丧失了对原有子公司的控制权”（详见前段）适用的原则进行会计处理。处置对子公司股权投资直</w:t>
      </w:r>
      <w:r>
        <w:rPr>
          <w:spacing w:val="-92"/>
          <w:w w:val="100"/>
        </w:rPr>
        <w:t> </w:t>
      </w:r>
      <w:r>
        <w:rPr>
          <w:spacing w:val="-92"/>
          <w:w w:val="100"/>
        </w:rPr>
      </w:r>
      <w:r>
        <w:rPr/>
        <w:t>至丧失控制权的各项交易属于一揽子交易的，将各项交易作为一项处置子公司并丧失控制权的交易</w:t>
      </w:r>
      <w:r>
        <w:rPr>
          <w:w w:val="100"/>
        </w:rPr>
        <w:t> </w:t>
      </w:r>
      <w:r>
        <w:rPr/>
        <w:t>进行会计处理；但是，在丧失控制权之前每一次处置价款与处置投资对应的享有该子公司净资产份</w:t>
      </w:r>
      <w:r>
        <w:rPr>
          <w:w w:val="100"/>
        </w:rPr>
        <w:t> </w:t>
      </w:r>
      <w:r>
        <w:rPr/>
        <w:t>额的差额，在合并财务报表中确认为其他综合收益，在丧失控制权时一并转入丧失控制权当期的损</w:t>
      </w:r>
      <w:r>
        <w:rPr>
          <w:w w:val="100"/>
        </w:rPr>
        <w:t> </w:t>
      </w:r>
      <w:r>
        <w:rPr/>
        <w:t>益。</w:t>
      </w:r>
    </w:p>
    <w:p>
      <w:pPr>
        <w:spacing w:line="259" w:lineRule="auto" w:before="77"/>
        <w:ind w:left="573" w:right="46" w:firstLine="2"/>
        <w:jc w:val="left"/>
        <w:rPr>
          <w:rFonts w:ascii="宋体" w:hAnsi="宋体" w:cs="宋体" w:eastAsia="宋体" w:hint="default"/>
          <w:sz w:val="21"/>
          <w:szCs w:val="21"/>
        </w:rPr>
      </w:pPr>
      <w:r>
        <w:rPr>
          <w:rFonts w:ascii="宋体" w:hAnsi="宋体" w:cs="宋体" w:eastAsia="宋体" w:hint="default"/>
          <w:b/>
          <w:bCs/>
          <w:sz w:val="21"/>
          <w:szCs w:val="21"/>
        </w:rPr>
        <w:t>6、现金及现金等价物的确定标准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273" w:lineRule="auto" w:before="20"/>
        <w:ind w:left="153" w:right="212"/>
        <w:jc w:val="both"/>
      </w:pPr>
      <w:r>
        <w:rPr>
          <w:spacing w:val="-2"/>
          <w:w w:val="100"/>
        </w:rPr>
        <w:t>（一般为从购买日起三个月内到期）、流动性强、易于转换为已知金额现金、价值变动风险很小的</w:t>
      </w:r>
      <w:r>
        <w:rPr>
          <w:spacing w:val="-93"/>
          <w:w w:val="100"/>
        </w:rPr>
        <w:t> </w:t>
      </w:r>
      <w:r>
        <w:rPr>
          <w:spacing w:val="-93"/>
          <w:w w:val="100"/>
        </w:rPr>
      </w:r>
      <w:r>
        <w:rPr/>
        <w:t>投资。</w:t>
      </w:r>
    </w:p>
    <w:p>
      <w:pPr>
        <w:spacing w:before="77"/>
        <w:ind w:left="575" w:right="46" w:firstLine="0"/>
        <w:jc w:val="left"/>
        <w:rPr>
          <w:rFonts w:ascii="宋体" w:hAnsi="宋体" w:cs="宋体" w:eastAsia="宋体" w:hint="default"/>
          <w:sz w:val="21"/>
          <w:szCs w:val="21"/>
        </w:rPr>
      </w:pPr>
      <w:r>
        <w:rPr>
          <w:rFonts w:ascii="宋体" w:hAnsi="宋体" w:cs="宋体" w:eastAsia="宋体" w:hint="default"/>
          <w:b/>
          <w:bCs/>
          <w:sz w:val="21"/>
          <w:szCs w:val="21"/>
        </w:rPr>
        <w:t>7、外币业务和外币报表折算</w:t>
      </w:r>
      <w:r>
        <w:rPr>
          <w:rFonts w:ascii="宋体" w:hAnsi="宋体" w:cs="宋体" w:eastAsia="宋体" w:hint="default"/>
          <w:sz w:val="21"/>
          <w:szCs w:val="21"/>
        </w:rPr>
      </w:r>
    </w:p>
    <w:p>
      <w:pPr>
        <w:pStyle w:val="BodyText"/>
        <w:spacing w:line="273" w:lineRule="auto" w:before="20"/>
        <w:ind w:right="46"/>
        <w:jc w:val="left"/>
      </w:pPr>
      <w:r>
        <w:rPr/>
        <w:t>（1）外币交易的折算方法</w:t>
      </w:r>
      <w:r>
        <w:rPr>
          <w:w w:val="100"/>
        </w:rPr>
        <w:t> </w:t>
      </w:r>
      <w:r>
        <w:rPr>
          <w:spacing w:val="-2"/>
        </w:rPr>
        <w:t>本公司发生的外币交易在初始确认时，按交易日的即期汇率折算为记账本位币金额，但公司发</w:t>
      </w:r>
    </w:p>
    <w:p>
      <w:pPr>
        <w:pStyle w:val="BodyText"/>
        <w:spacing w:line="240" w:lineRule="auto"/>
        <w:ind w:left="153" w:right="0"/>
        <w:jc w:val="both"/>
      </w:pPr>
      <w:r>
        <w:rPr/>
        <w:t>生的外币兑换业务或涉及外币兑换的交易事项，按照实际采用的汇率折算为记账本位币金额。</w:t>
      </w:r>
    </w:p>
    <w:p>
      <w:pPr>
        <w:pStyle w:val="BodyText"/>
        <w:spacing w:line="273" w:lineRule="auto" w:before="37"/>
        <w:ind w:right="46"/>
        <w:jc w:val="left"/>
      </w:pPr>
      <w:r>
        <w:rPr/>
        <w:t>（2）对于外币货币性项目和外币非货币性项目的折算方法</w:t>
      </w:r>
      <w:r>
        <w:rPr>
          <w:w w:val="100"/>
        </w:rPr>
        <w:t> </w:t>
      </w:r>
      <w:r>
        <w:rPr>
          <w:spacing w:val="-2"/>
        </w:rPr>
        <w:t>资产负债表日，对于外币货币性项目采用资产负债表日即期汇率折算，由此产生的汇兑差额，</w:t>
      </w:r>
    </w:p>
    <w:p>
      <w:pPr>
        <w:pStyle w:val="BodyText"/>
        <w:spacing w:line="273" w:lineRule="auto"/>
        <w:ind w:left="153" w:right="210"/>
        <w:jc w:val="both"/>
      </w:pPr>
      <w:r>
        <w:rPr>
          <w:spacing w:val="-2"/>
        </w:rPr>
        <w:t>除：①属于与购建符合资本化条件的资产相关的外币专门借款产生的汇兑差额按照借款费用资本化</w:t>
      </w:r>
      <w:r>
        <w:rPr>
          <w:spacing w:val="-42"/>
        </w:rPr>
        <w:t> </w:t>
      </w:r>
      <w:r>
        <w:rPr>
          <w:spacing w:val="-42"/>
        </w:rPr>
      </w:r>
      <w:r>
        <w:rPr>
          <w:spacing w:val="-2"/>
        </w:rPr>
        <w:t>的原则处理；②可供出售的外币货币性项目除摊余成本之外的其他账面余额变动产生的汇兑差额计</w:t>
      </w:r>
      <w:r>
        <w:rPr>
          <w:spacing w:val="-42"/>
        </w:rPr>
        <w:t> </w:t>
      </w:r>
      <w:r>
        <w:rPr>
          <w:spacing w:val="-42"/>
        </w:rPr>
      </w:r>
      <w:r>
        <w:rPr/>
        <w:t>入其他综合收益之外，均计入当期损益。</w:t>
      </w:r>
    </w:p>
    <w:p>
      <w:pPr>
        <w:pStyle w:val="BodyText"/>
        <w:spacing w:line="273" w:lineRule="auto" w:before="8"/>
        <w:ind w:left="153" w:right="210" w:firstLine="420"/>
        <w:jc w:val="both"/>
      </w:pPr>
      <w:r>
        <w:rPr>
          <w:spacing w:val="-2"/>
        </w:rPr>
        <w:t>以历史成本计量的外币非货币性项目，仍采用交易发生日的即期汇率折算的记账本位币金额计</w:t>
      </w:r>
      <w:r>
        <w:rPr>
          <w:w w:val="100"/>
        </w:rPr>
        <w:t> </w:t>
      </w:r>
      <w:r>
        <w:rPr>
          <w:spacing w:val="-2"/>
        </w:rPr>
        <w:t>量。以公允价值计量的外币非货币性项目，采用公允价值确定日的即期汇率折算，折算后的记账本</w:t>
      </w:r>
      <w:r>
        <w:rPr>
          <w:spacing w:val="-46"/>
        </w:rPr>
        <w:t> </w:t>
      </w:r>
      <w:r>
        <w:rPr>
          <w:spacing w:val="-46"/>
        </w:rPr>
      </w:r>
      <w:r>
        <w:rPr>
          <w:spacing w:val="-2"/>
        </w:rPr>
        <w:t>位币金额与原记账本位币金额的差额，作为公允价值变动（含汇率变动）处理，计入当期损益或确</w:t>
      </w:r>
      <w:r>
        <w:rPr>
          <w:spacing w:val="-46"/>
        </w:rPr>
        <w:t> </w:t>
      </w:r>
      <w:r>
        <w:rPr>
          <w:spacing w:val="-46"/>
        </w:rPr>
      </w:r>
      <w:r>
        <w:rPr/>
        <w:t>认为其他综合收益。</w:t>
      </w:r>
    </w:p>
    <w:p>
      <w:pPr>
        <w:pStyle w:val="BodyText"/>
        <w:spacing w:line="256" w:lineRule="auto" w:before="77"/>
        <w:ind w:right="46" w:firstLine="2"/>
        <w:jc w:val="left"/>
      </w:pPr>
      <w:r>
        <w:rPr>
          <w:rFonts w:ascii="宋体" w:hAnsi="宋体" w:cs="宋体" w:eastAsia="宋体" w:hint="default"/>
          <w:b/>
          <w:bCs/>
        </w:rPr>
        <w:t>8、金融工具</w:t>
      </w:r>
      <w:r>
        <w:rPr>
          <w:rFonts w:ascii="宋体" w:hAnsi="宋体" w:cs="宋体" w:eastAsia="宋体" w:hint="default"/>
          <w:b/>
          <w:bCs/>
          <w:w w:val="100"/>
        </w:rPr>
        <w:t> </w:t>
      </w:r>
      <w:r>
        <w:rPr>
          <w:spacing w:val="-2"/>
        </w:rPr>
        <w:t>金融工具是指形成一个企业的金融资产，并形成其他单位的金融负债或权益工具的合同。</w:t>
      </w:r>
    </w:p>
    <w:p>
      <w:pPr>
        <w:pStyle w:val="BodyText"/>
        <w:spacing w:line="240" w:lineRule="auto" w:before="22"/>
        <w:ind w:right="46"/>
        <w:jc w:val="left"/>
      </w:pPr>
      <w:r>
        <w:rPr/>
        <w:t>（1）金融工具的确认和终止确认</w:t>
      </w:r>
    </w:p>
    <w:p>
      <w:pPr>
        <w:spacing w:after="0" w:line="240" w:lineRule="auto"/>
        <w:jc w:val="left"/>
        <w:sectPr>
          <w:footerReference w:type="default" r:id="rId60"/>
          <w:pgSz w:w="11910" w:h="16840"/>
          <w:pgMar w:footer="1219" w:header="884" w:top="1140" w:bottom="1400" w:left="1320" w:right="1200"/>
        </w:sectPr>
      </w:pPr>
    </w:p>
    <w:p>
      <w:pPr>
        <w:pStyle w:val="BodyText"/>
        <w:spacing w:line="273" w:lineRule="auto" w:before="131"/>
        <w:ind w:right="0"/>
        <w:jc w:val="left"/>
      </w:pP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ind w:right="0"/>
        <w:jc w:val="left"/>
      </w:pPr>
      <w:r>
        <w:rPr/>
        <w:t>①收取该金融资产现金流量的合同权利终止；</w:t>
      </w:r>
    </w:p>
    <w:p>
      <w:pPr>
        <w:pStyle w:val="BodyText"/>
        <w:spacing w:line="273" w:lineRule="auto" w:before="37"/>
        <w:ind w:right="0"/>
        <w:jc w:val="left"/>
      </w:pPr>
      <w:r>
        <w:rPr/>
        <w:t>②该金融资产已转移，且符合下述金融资产转移的终止确认条件。</w:t>
      </w:r>
      <w:r>
        <w:rPr>
          <w:w w:val="100"/>
        </w:rPr>
        <w:t> </w:t>
      </w:r>
      <w:r>
        <w:rPr>
          <w:spacing w:val="-2"/>
        </w:rPr>
        <w:t>金融负债的现时义务全部或部分已经解除的，终止确认该金融负债或其一部分。本公司（债务</w:t>
      </w:r>
    </w:p>
    <w:p>
      <w:pPr>
        <w:pStyle w:val="BodyText"/>
        <w:spacing w:line="273" w:lineRule="auto" w:before="8"/>
        <w:ind w:left="153" w:right="135"/>
        <w:jc w:val="both"/>
      </w:pPr>
      <w:r>
        <w:rPr>
          <w:spacing w:val="-2"/>
        </w:rPr>
        <w:t>人）与债权人之间签订协议，以承担新金融负债方式替换现存金融负债，且新金融负债与现存金融</w:t>
      </w:r>
      <w:r>
        <w:rPr>
          <w:spacing w:val="-49"/>
        </w:rPr>
        <w:t> </w:t>
      </w:r>
      <w:r>
        <w:rPr>
          <w:spacing w:val="-49"/>
        </w:rPr>
      </w:r>
      <w:r>
        <w:rPr/>
        <w:t>负债的合同条款实质上不同的，终止确认现存金融负债，并同时确认新金融负债。</w:t>
      </w:r>
    </w:p>
    <w:p>
      <w:pPr>
        <w:pStyle w:val="BodyText"/>
        <w:spacing w:line="240" w:lineRule="auto"/>
        <w:ind w:right="0"/>
        <w:jc w:val="left"/>
      </w:pPr>
      <w:r>
        <w:rPr/>
        <w:t>以常规方式买卖金融资产，按交易日进行会计确认和终止确认。</w:t>
      </w:r>
    </w:p>
    <w:p>
      <w:pPr>
        <w:pStyle w:val="BodyText"/>
        <w:spacing w:line="273" w:lineRule="auto" w:before="37"/>
        <w:ind w:right="0"/>
        <w:jc w:val="left"/>
      </w:pPr>
      <w:r>
        <w:rPr/>
        <w:t>（2）金融资产分类和计量</w:t>
      </w:r>
      <w:r>
        <w:rPr>
          <w:w w:val="100"/>
        </w:rPr>
        <w:t> </w:t>
      </w:r>
      <w:r>
        <w:rPr>
          <w:spacing w:val="-2"/>
        </w:rPr>
        <w:t>本公司的金融资产于初始确认时分为以下四类：以公允价值计量且其变动计入当期损益的金融</w:t>
      </w:r>
    </w:p>
    <w:p>
      <w:pPr>
        <w:pStyle w:val="BodyText"/>
        <w:spacing w:line="273" w:lineRule="auto"/>
        <w:ind w:left="153" w:right="113"/>
        <w:jc w:val="both"/>
      </w:pPr>
      <w:r>
        <w:rPr>
          <w:spacing w:val="-2"/>
        </w:rPr>
        <w:t>资产、持有至到期投资、贷款和应收款项、可供出售金融资产。金融资产在初始确认时以公允价值</w:t>
      </w:r>
      <w:r>
        <w:rPr>
          <w:spacing w:val="-45"/>
        </w:rPr>
        <w:t> </w:t>
      </w:r>
      <w:r>
        <w:rPr>
          <w:spacing w:val="-45"/>
        </w:rPr>
      </w:r>
      <w:r>
        <w:rPr>
          <w:spacing w:val="-2"/>
        </w:rPr>
        <w:t>计量。对于以公允价值计量且其变动计入当期损益的金融资产，相关交易费用直接计入当期损益，</w:t>
      </w:r>
      <w:r>
        <w:rPr>
          <w:spacing w:val="-25"/>
        </w:rPr>
        <w:t> </w:t>
      </w:r>
      <w:r>
        <w:rPr>
          <w:spacing w:val="-25"/>
        </w:rPr>
      </w:r>
      <w:r>
        <w:rPr/>
        <w:t>其他类别的金融资产相关交易费用计入其初始确认金额。</w:t>
      </w:r>
    </w:p>
    <w:p>
      <w:pPr>
        <w:pStyle w:val="BodyText"/>
        <w:spacing w:line="273" w:lineRule="auto"/>
        <w:ind w:right="0"/>
        <w:jc w:val="left"/>
      </w:pPr>
      <w:r>
        <w:rPr/>
        <w:t>①以公允价值计量且其变动计入当期损益的金融资产</w:t>
      </w:r>
      <w:r>
        <w:rPr>
          <w:w w:val="100"/>
        </w:rPr>
        <w:t> </w:t>
      </w:r>
      <w:r>
        <w:rPr>
          <w:spacing w:val="-2"/>
        </w:rPr>
        <w:t>以公允价值计量且其变动计入当期损益的金融资产，包括交易性金融资产和初始确认时指定为</w:t>
      </w:r>
    </w:p>
    <w:p>
      <w:pPr>
        <w:pStyle w:val="BodyText"/>
        <w:spacing w:line="273" w:lineRule="auto"/>
        <w:ind w:left="153" w:right="130"/>
        <w:jc w:val="both"/>
      </w:pPr>
      <w:r>
        <w:rPr>
          <w:spacing w:val="-2"/>
        </w:rPr>
        <w:t>以公允价值计量且其变动计入当期损益的金融资产。对于此类金融资产，采用公允价值进行后续计</w:t>
      </w:r>
      <w:r>
        <w:rPr>
          <w:spacing w:val="-44"/>
        </w:rPr>
        <w:t> </w:t>
      </w:r>
      <w:r>
        <w:rPr>
          <w:spacing w:val="-44"/>
        </w:rPr>
      </w:r>
      <w:r>
        <w:rPr/>
        <w:t>量，公允价值变动形成的利得或损失以及与该等金融资产相关的股利和利息收入计入当期损益。</w:t>
      </w:r>
    </w:p>
    <w:p>
      <w:pPr>
        <w:pStyle w:val="BodyText"/>
        <w:spacing w:line="273" w:lineRule="auto"/>
        <w:ind w:right="0"/>
        <w:jc w:val="left"/>
      </w:pPr>
      <w:r>
        <w:rPr/>
        <w:t>③持有至到期投资</w:t>
      </w:r>
      <w:r>
        <w:rPr>
          <w:w w:val="100"/>
        </w:rPr>
        <w:t> </w:t>
      </w:r>
      <w:r>
        <w:rPr>
          <w:spacing w:val="-2"/>
        </w:rPr>
        <w:t>持有至到期投资，是指到期日固定、回收金额固定或可确定，且本公司有明确意图和能力持有</w:t>
      </w:r>
    </w:p>
    <w:p>
      <w:pPr>
        <w:pStyle w:val="BodyText"/>
        <w:spacing w:line="273" w:lineRule="auto"/>
        <w:ind w:left="153" w:right="132"/>
        <w:jc w:val="both"/>
      </w:pPr>
      <w:r>
        <w:rPr>
          <w:spacing w:val="-2"/>
        </w:rPr>
        <w:t>至到期的非衍生金融资产。持有至到期投资采用实际利率法，按照摊余成本进行后续计量，其终止</w:t>
      </w:r>
      <w:r>
        <w:rPr>
          <w:spacing w:val="-46"/>
        </w:rPr>
        <w:t> </w:t>
      </w:r>
      <w:r>
        <w:rPr>
          <w:spacing w:val="-46"/>
        </w:rPr>
      </w:r>
      <w:r>
        <w:rPr/>
        <w:t>确认、发生减值或摊销产生的利得或损失，均计入当期损益。</w:t>
      </w:r>
    </w:p>
    <w:p>
      <w:pPr>
        <w:pStyle w:val="BodyText"/>
        <w:spacing w:line="273" w:lineRule="auto"/>
        <w:ind w:right="0"/>
        <w:jc w:val="left"/>
      </w:pPr>
      <w:r>
        <w:rPr/>
        <w:t>③应收款项</w:t>
      </w:r>
      <w:r>
        <w:rPr>
          <w:spacing w:val="-102"/>
        </w:rPr>
        <w:t> </w:t>
      </w:r>
      <w:r>
        <w:rPr>
          <w:spacing w:val="-102"/>
        </w:rPr>
      </w:r>
      <w:r>
        <w:rPr>
          <w:spacing w:val="-2"/>
        </w:rPr>
        <w:t>应收款项，是指在活跃市场中没有报价、回收金额固定或可确定的非衍生金融资产，包括应收</w:t>
      </w:r>
    </w:p>
    <w:p>
      <w:pPr>
        <w:pStyle w:val="BodyText"/>
        <w:spacing w:line="273" w:lineRule="auto" w:before="8"/>
        <w:ind w:left="153" w:right="130"/>
        <w:jc w:val="both"/>
      </w:pPr>
      <w:r>
        <w:rPr>
          <w:spacing w:val="-2"/>
        </w:rPr>
        <w:t>账款和其他应收款等。应收款项采用实际利率法，按摊余成本进行后续计量，在终止确认、发生减</w:t>
      </w:r>
      <w:r>
        <w:rPr>
          <w:spacing w:val="-42"/>
        </w:rPr>
        <w:t> </w:t>
      </w:r>
      <w:r>
        <w:rPr>
          <w:spacing w:val="-42"/>
        </w:rPr>
      </w:r>
      <w:r>
        <w:rPr/>
        <w:t>值或摊销时产生的利得或损失，计入当期损益。</w:t>
      </w:r>
    </w:p>
    <w:p>
      <w:pPr>
        <w:pStyle w:val="BodyText"/>
        <w:spacing w:line="273" w:lineRule="auto"/>
        <w:ind w:right="0"/>
        <w:jc w:val="left"/>
      </w:pPr>
      <w:r>
        <w:rPr/>
        <w:t>④可供出售金融资产</w:t>
      </w:r>
      <w:r>
        <w:rPr>
          <w:w w:val="100"/>
        </w:rPr>
        <w:t> </w:t>
      </w:r>
      <w:r>
        <w:rPr>
          <w:spacing w:val="-2"/>
        </w:rPr>
        <w:t>可供出售金融资产，是指初始确认时即指定为可供出售的非衍生金融资产，以及除上述金融资</w:t>
      </w:r>
    </w:p>
    <w:p>
      <w:pPr>
        <w:pStyle w:val="BodyText"/>
        <w:spacing w:line="273" w:lineRule="auto" w:before="8"/>
        <w:ind w:left="153" w:right="113"/>
        <w:jc w:val="both"/>
      </w:pPr>
      <w:r>
        <w:rPr>
          <w:spacing w:val="-2"/>
        </w:rPr>
        <w:t>产类别以外的金融资产。可供出售金融资产采用公允价值进行后续计量，其折溢价采用实际利率法</w:t>
      </w:r>
      <w:r>
        <w:rPr>
          <w:spacing w:val="-45"/>
        </w:rPr>
        <w:t> </w:t>
      </w:r>
      <w:r>
        <w:rPr>
          <w:spacing w:val="-45"/>
        </w:rPr>
      </w:r>
      <w:r>
        <w:rPr>
          <w:spacing w:val="-2"/>
        </w:rPr>
        <w:t>摊销并确认为利息收入。除减值损失及外币货币性金融资产的汇兑差额确认为当期损益外，可供出</w:t>
      </w:r>
      <w:r>
        <w:rPr>
          <w:spacing w:val="-43"/>
        </w:rPr>
        <w:t> </w:t>
      </w:r>
      <w:r>
        <w:rPr>
          <w:spacing w:val="-43"/>
        </w:rPr>
      </w:r>
      <w:r>
        <w:rPr>
          <w:spacing w:val="-2"/>
        </w:rPr>
        <w:t>售金融资产的公允价值变动确认为其他综合收益，在该金融资产终止确认时转出，计入当期损益。</w:t>
      </w:r>
      <w:r>
        <w:rPr>
          <w:spacing w:val="-25"/>
        </w:rPr>
        <w:t> </w:t>
      </w:r>
      <w:r>
        <w:rPr>
          <w:spacing w:val="-25"/>
        </w:rPr>
      </w:r>
      <w:r>
        <w:rPr/>
        <w:t>与可供出售金融资产相关的股利或利息收入，计入当期损益。</w:t>
      </w:r>
    </w:p>
    <w:p>
      <w:pPr>
        <w:pStyle w:val="BodyText"/>
        <w:spacing w:line="273" w:lineRule="auto" w:before="8"/>
        <w:ind w:left="153" w:right="0" w:firstLine="420"/>
        <w:jc w:val="left"/>
      </w:pPr>
      <w:r>
        <w:rPr>
          <w:spacing w:val="-2"/>
        </w:rPr>
        <w:t>对于在活跃市场中没有报价且其公允价值不能可靠计量的权益工具投资，以及与该权益工具挂</w:t>
      </w:r>
      <w:r>
        <w:rPr>
          <w:w w:val="100"/>
        </w:rPr>
        <w:t> </w:t>
      </w:r>
      <w:r>
        <w:rPr/>
        <w:t>钩并须通过交付该权益工具结算的衍生金融资产，按成本计量。</w:t>
      </w:r>
    </w:p>
    <w:p>
      <w:pPr>
        <w:pStyle w:val="BodyText"/>
        <w:spacing w:line="273" w:lineRule="auto"/>
        <w:ind w:right="0"/>
        <w:jc w:val="left"/>
      </w:pPr>
      <w:r>
        <w:rPr/>
        <w:t>（3）金融负债分类和计量</w:t>
      </w:r>
      <w:r>
        <w:rPr>
          <w:w w:val="100"/>
        </w:rPr>
        <w:t> </w:t>
      </w:r>
      <w:r>
        <w:rPr>
          <w:spacing w:val="-2"/>
        </w:rPr>
        <w:t>本公司的金融负债于初始确认时分类为：以公允价值计量且其变动计入当期损益的金融负债、</w:t>
      </w:r>
    </w:p>
    <w:p>
      <w:pPr>
        <w:pStyle w:val="BodyText"/>
        <w:spacing w:line="273" w:lineRule="auto"/>
        <w:ind w:left="153" w:right="130"/>
        <w:jc w:val="both"/>
      </w:pPr>
      <w:r>
        <w:rPr>
          <w:spacing w:val="-2"/>
        </w:rPr>
        <w:t>其他金融负债。对于未划分为以公允价值计量且其变动计入当期损益的金融负债的，相关交易费用</w:t>
      </w:r>
      <w:r>
        <w:rPr>
          <w:spacing w:val="-43"/>
        </w:rPr>
        <w:t> </w:t>
      </w:r>
      <w:r>
        <w:rPr>
          <w:spacing w:val="-43"/>
        </w:rPr>
      </w:r>
      <w:r>
        <w:rPr/>
        <w:t>计入其初始确认金额。</w:t>
      </w:r>
    </w:p>
    <w:p>
      <w:pPr>
        <w:pStyle w:val="BodyText"/>
        <w:spacing w:line="273" w:lineRule="auto"/>
        <w:ind w:right="0"/>
        <w:jc w:val="left"/>
      </w:pPr>
      <w:r>
        <w:rPr/>
        <w:t>①以公允价值计量且其变动计入当期损益的金融负债</w:t>
      </w:r>
      <w:r>
        <w:rPr>
          <w:w w:val="100"/>
        </w:rPr>
        <w:t> </w:t>
      </w:r>
      <w:r>
        <w:rPr>
          <w:spacing w:val="-2"/>
        </w:rPr>
        <w:t>以公允价值计量且其变动计入当期损益的金融负债，包括交易性金融负债和初始确认时指定为</w:t>
      </w:r>
    </w:p>
    <w:p>
      <w:pPr>
        <w:pStyle w:val="BodyText"/>
        <w:spacing w:line="273" w:lineRule="auto"/>
        <w:ind w:left="153" w:right="130"/>
        <w:jc w:val="both"/>
      </w:pPr>
      <w:r>
        <w:rPr>
          <w:spacing w:val="-2"/>
        </w:rPr>
        <w:t>以公允价值计量且其变动计入当期损益的金融负债。对于此类金融负债，按照公允价值进行后续计</w:t>
      </w:r>
      <w:r>
        <w:rPr>
          <w:spacing w:val="-44"/>
        </w:rPr>
        <w:t> </w:t>
      </w:r>
      <w:r>
        <w:rPr>
          <w:spacing w:val="-44"/>
        </w:rPr>
      </w:r>
      <w:r>
        <w:rPr/>
        <w:t>量，公允价值变动形成的利得或损失以及与该等金融负债相关的股利和利息支出计入当期损益。</w:t>
      </w:r>
    </w:p>
    <w:p>
      <w:pPr>
        <w:pStyle w:val="BodyText"/>
        <w:spacing w:line="273" w:lineRule="auto"/>
        <w:ind w:right="0"/>
        <w:jc w:val="left"/>
      </w:pPr>
      <w:r>
        <w:rPr/>
        <w:t>②其他金融负债</w:t>
      </w:r>
      <w:r>
        <w:rPr>
          <w:spacing w:val="-103"/>
        </w:rPr>
        <w:t> </w:t>
      </w:r>
      <w:r>
        <w:rPr>
          <w:spacing w:val="-103"/>
        </w:rPr>
      </w:r>
      <w:r>
        <w:rPr>
          <w:spacing w:val="-2"/>
        </w:rPr>
        <w:t>与在活跃市场中没有报价、公允价值不能可靠计量的权益工具挂钩并须通过交付该权益工具结</w:t>
      </w:r>
    </w:p>
    <w:p>
      <w:pPr>
        <w:pStyle w:val="BodyText"/>
        <w:spacing w:line="273" w:lineRule="auto"/>
        <w:ind w:left="153" w:right="132"/>
        <w:jc w:val="both"/>
      </w:pPr>
      <w:r>
        <w:rPr>
          <w:spacing w:val="-2"/>
        </w:rPr>
        <w:t>算的衍生金融负债，按照成本进行后续计量。其他金融负债采用实际利率法，按摊余成本进行后续</w:t>
      </w:r>
      <w:r>
        <w:rPr>
          <w:spacing w:val="-46"/>
        </w:rPr>
        <w:t> </w:t>
      </w:r>
      <w:r>
        <w:rPr>
          <w:spacing w:val="-46"/>
        </w:rPr>
      </w:r>
      <w:r>
        <w:rPr/>
        <w:t>计量，终止确认或摊销产生的利得或损失计入当期损益。</w:t>
      </w:r>
    </w:p>
    <w:p>
      <w:pPr>
        <w:spacing w:after="0" w:line="273" w:lineRule="auto"/>
        <w:jc w:val="both"/>
        <w:sectPr>
          <w:footerReference w:type="default" r:id="rId61"/>
          <w:pgSz w:w="11910" w:h="16840"/>
          <w:pgMar w:footer="1219" w:header="884" w:top="1140" w:bottom="1400" w:left="1320" w:right="1280"/>
          <w:pgNumType w:start="81"/>
        </w:sectPr>
      </w:pPr>
    </w:p>
    <w:p>
      <w:pPr>
        <w:pStyle w:val="BodyText"/>
        <w:spacing w:line="273" w:lineRule="auto" w:before="131"/>
        <w:ind w:right="2112"/>
        <w:jc w:val="left"/>
      </w:pPr>
      <w:r>
        <w:rPr/>
        <w:t>③金融负债与权益工具的区分</w:t>
      </w:r>
      <w:r>
        <w:rPr>
          <w:w w:val="100"/>
        </w:rPr>
        <w:t> </w:t>
      </w:r>
      <w:r>
        <w:rPr/>
        <w:t>金融负债，是指符合下列条件之一的负债：</w:t>
      </w:r>
      <w:r>
        <w:rPr>
          <w:w w:val="100"/>
        </w:rPr>
        <w:t> </w:t>
      </w:r>
      <w:r>
        <w:rPr/>
        <w:t>A.向其他方交付现金或其他金融资产的合同义务。</w:t>
      </w:r>
      <w:r>
        <w:rPr>
          <w:w w:val="100"/>
        </w:rPr>
        <w:t> </w:t>
      </w:r>
      <w:r>
        <w:rPr>
          <w:spacing w:val="-2"/>
        </w:rPr>
        <w:t>B.在潜在不利条件下，与其他方交换金融资产或金融负债的合同义务。</w:t>
      </w:r>
    </w:p>
    <w:p>
      <w:pPr>
        <w:pStyle w:val="BodyText"/>
        <w:spacing w:line="273" w:lineRule="auto"/>
        <w:ind w:left="153" w:right="210" w:firstLine="420"/>
        <w:jc w:val="both"/>
      </w:pPr>
      <w:r>
        <w:rPr>
          <w:spacing w:val="-2"/>
        </w:rPr>
        <w:t>C.将来须用或可用企业自身权益工具进行结算的非衍生工具合同，且企业根据该合同将交付可</w:t>
      </w:r>
      <w:r>
        <w:rPr>
          <w:w w:val="100"/>
        </w:rPr>
        <w:t> </w:t>
      </w:r>
      <w:r>
        <w:rPr/>
        <w:t>变数量的自身权益工具。</w:t>
      </w:r>
    </w:p>
    <w:p>
      <w:pPr>
        <w:pStyle w:val="BodyText"/>
        <w:spacing w:line="273" w:lineRule="auto"/>
        <w:ind w:left="153" w:right="210" w:firstLine="420"/>
        <w:jc w:val="both"/>
      </w:pPr>
      <w:r>
        <w:rPr>
          <w:spacing w:val="-2"/>
        </w:rPr>
        <w:t>D.将来须用或可用企业自身权益工具进行结算的衍生工具合同，但以固定数量的自身权益工具</w:t>
      </w:r>
      <w:r>
        <w:rPr>
          <w:w w:val="100"/>
        </w:rPr>
        <w:t> </w:t>
      </w:r>
      <w:r>
        <w:rPr/>
        <w:t>交换固定金额的现金或其他金融资产的衍生工具合同除外。</w:t>
      </w:r>
    </w:p>
    <w:p>
      <w:pPr>
        <w:pStyle w:val="BodyText"/>
        <w:spacing w:line="273" w:lineRule="auto"/>
        <w:ind w:right="46"/>
        <w:jc w:val="left"/>
      </w:pPr>
      <w:r>
        <w:rPr/>
        <w:t>权益工具，是指能证明拥有某个企业在扣除所有负债后的资产中剩余权益的合同。</w:t>
      </w:r>
      <w:r>
        <w:rPr>
          <w:w w:val="100"/>
        </w:rPr>
        <w:t> </w:t>
      </w:r>
      <w:r>
        <w:rPr>
          <w:spacing w:val="-2"/>
        </w:rPr>
        <w:t>如果本公司不能无条件地避免以交付现金或其他金融资产来履行一项合同义务，则该合同义务</w:t>
      </w:r>
    </w:p>
    <w:p>
      <w:pPr>
        <w:pStyle w:val="BodyText"/>
        <w:spacing w:line="273" w:lineRule="auto"/>
        <w:ind w:right="46" w:hanging="421"/>
        <w:jc w:val="left"/>
      </w:pPr>
      <w:r>
        <w:rPr/>
        <w:t>符合金融负债的定义。</w:t>
      </w:r>
      <w:r>
        <w:rPr>
          <w:w w:val="100"/>
        </w:rPr>
        <w:t> </w:t>
      </w:r>
      <w:r>
        <w:rPr>
          <w:spacing w:val="-2"/>
        </w:rPr>
        <w:t>如果一项金融工具须用或可用本公司自身权益工具进行结算，需要考虑用于结算该工具的本公</w:t>
      </w:r>
    </w:p>
    <w:p>
      <w:pPr>
        <w:pStyle w:val="BodyText"/>
        <w:spacing w:line="273" w:lineRule="auto" w:before="8"/>
        <w:ind w:left="153" w:right="210"/>
        <w:jc w:val="both"/>
      </w:pPr>
      <w:r>
        <w:rPr>
          <w:spacing w:val="-2"/>
        </w:rPr>
        <w:t>司自身权益工具，是作为现金或其他金融资产的替代品，还是为了使该工具持有方享有在发行方扣</w:t>
      </w:r>
      <w:r>
        <w:rPr>
          <w:spacing w:val="-46"/>
        </w:rPr>
        <w:t> </w:t>
      </w:r>
      <w:r>
        <w:rPr>
          <w:spacing w:val="-46"/>
        </w:rPr>
      </w:r>
      <w:r>
        <w:rPr>
          <w:spacing w:val="-2"/>
        </w:rPr>
        <w:t>除所有负债后的资产中的剩余权益。如果是前者，该工具是本公司的金融负债；如果是后者，该工</w:t>
      </w:r>
      <w:r>
        <w:rPr>
          <w:spacing w:val="-43"/>
        </w:rPr>
        <w:t> </w:t>
      </w:r>
      <w:r>
        <w:rPr>
          <w:spacing w:val="-43"/>
        </w:rPr>
      </w:r>
      <w:r>
        <w:rPr/>
        <w:t>具是本公司的权益工具。</w:t>
      </w:r>
    </w:p>
    <w:p>
      <w:pPr>
        <w:pStyle w:val="BodyText"/>
        <w:spacing w:line="273" w:lineRule="auto"/>
        <w:ind w:right="46"/>
        <w:jc w:val="left"/>
      </w:pPr>
      <w:r>
        <w:rPr/>
        <w:t>（4）衍生金融工具及嵌入衍生工具</w:t>
      </w:r>
      <w:r>
        <w:rPr>
          <w:w w:val="100"/>
        </w:rPr>
        <w:t> </w:t>
      </w:r>
      <w:r>
        <w:rPr>
          <w:spacing w:val="-2"/>
        </w:rPr>
        <w:t>本公司衍生金融工具初始以衍生交易合同签订当日的公允价值进行计量，并以其公允价值进行</w:t>
      </w:r>
    </w:p>
    <w:p>
      <w:pPr>
        <w:pStyle w:val="BodyText"/>
        <w:spacing w:line="273" w:lineRule="auto"/>
        <w:ind w:left="153" w:right="46"/>
        <w:jc w:val="left"/>
      </w:pPr>
      <w:r>
        <w:rPr>
          <w:spacing w:val="-2"/>
        </w:rPr>
        <w:t>后续计量。公允价值为正数的衍生金融工具确认为一项资产，公允价值为负数的确认为一项负债。</w:t>
      </w:r>
      <w:r>
        <w:rPr>
          <w:spacing w:val="-26"/>
        </w:rPr>
        <w:t> </w:t>
      </w:r>
      <w:r>
        <w:rPr>
          <w:spacing w:val="-26"/>
        </w:rPr>
      </w:r>
      <w:r>
        <w:rPr/>
        <w:t>因公允价值变动而产生的任何不符合套期会计规定的利得或损失，直接计入当期损益。</w:t>
      </w:r>
    </w:p>
    <w:p>
      <w:pPr>
        <w:pStyle w:val="BodyText"/>
        <w:spacing w:line="273" w:lineRule="auto"/>
        <w:ind w:left="153" w:right="210" w:firstLine="420"/>
        <w:jc w:val="both"/>
      </w:pPr>
      <w:r>
        <w:rPr>
          <w:spacing w:val="-2"/>
        </w:rPr>
        <w:t>对包含嵌入衍生工具的混合工具，如未指定为以公允价值计量且其变动计入当期损益的金融资</w:t>
      </w:r>
      <w:r>
        <w:rPr>
          <w:w w:val="100"/>
        </w:rPr>
        <w:t> </w:t>
      </w:r>
      <w:r>
        <w:rPr>
          <w:spacing w:val="-2"/>
        </w:rPr>
        <w:t>产或金融负债，嵌入衍生工具与该主合同在经济特征及风险方面不存在紧密关系，且与嵌入衍生工</w:t>
      </w:r>
      <w:r>
        <w:rPr>
          <w:spacing w:val="-44"/>
        </w:rPr>
        <w:t> </w:t>
      </w:r>
      <w:r>
        <w:rPr>
          <w:spacing w:val="-44"/>
        </w:rPr>
      </w:r>
      <w:r>
        <w:rPr>
          <w:spacing w:val="-2"/>
        </w:rPr>
        <w:t>具条件相同，单独存在的工具符合衍生工具定义的，嵌入衍生工具从混合工具中分拆，作为单独的</w:t>
      </w:r>
      <w:r>
        <w:rPr>
          <w:spacing w:val="-46"/>
        </w:rPr>
        <w:t> </w:t>
      </w:r>
      <w:r>
        <w:rPr>
          <w:spacing w:val="-46"/>
        </w:rPr>
      </w:r>
      <w:r>
        <w:rPr>
          <w:spacing w:val="-2"/>
        </w:rPr>
        <w:t>衍生金融工具处理。如果无法在取得时或后续的资产负债表日对嵌入衍生工具进行单独计量，则将</w:t>
      </w:r>
      <w:r>
        <w:rPr>
          <w:spacing w:val="-43"/>
        </w:rPr>
        <w:t> </w:t>
      </w:r>
      <w:r>
        <w:rPr>
          <w:spacing w:val="-43"/>
        </w:rPr>
      </w:r>
      <w:r>
        <w:rPr/>
        <w:t>混合工具整体指定为以公允价值计量且其变动计入当期损益的金融资产或金融负债。</w:t>
      </w:r>
    </w:p>
    <w:p>
      <w:pPr>
        <w:pStyle w:val="BodyText"/>
        <w:spacing w:line="273" w:lineRule="auto"/>
        <w:ind w:right="46"/>
        <w:jc w:val="left"/>
      </w:pPr>
      <w:r>
        <w:rPr/>
        <w:t>（5）金融工具的公允价值</w:t>
      </w:r>
      <w:r>
        <w:rPr>
          <w:w w:val="100"/>
        </w:rPr>
        <w:t> </w:t>
      </w:r>
      <w:r>
        <w:rPr>
          <w:spacing w:val="-2"/>
        </w:rPr>
        <w:t>公允价值是指市场参与者在计量日发生的有序交易中，出售一项资产所能收到或者转移一项负</w:t>
      </w:r>
    </w:p>
    <w:p>
      <w:pPr>
        <w:pStyle w:val="BodyText"/>
        <w:spacing w:line="273" w:lineRule="auto"/>
        <w:ind w:right="46" w:hanging="421"/>
        <w:jc w:val="left"/>
      </w:pPr>
      <w:r>
        <w:rPr/>
        <w:t>债所需支付的价格。</w:t>
      </w:r>
      <w:r>
        <w:rPr>
          <w:w w:val="100"/>
        </w:rPr>
        <w:t> </w:t>
      </w:r>
      <w:r>
        <w:rPr>
          <w:spacing w:val="-2"/>
        </w:rPr>
        <w:t>本公司以公允价值计量相关资产或负债，假定出售资产或者转移负债的有序交易在相关资产或</w:t>
      </w:r>
    </w:p>
    <w:p>
      <w:pPr>
        <w:pStyle w:val="BodyText"/>
        <w:spacing w:line="273" w:lineRule="auto"/>
        <w:ind w:left="153" w:right="46"/>
        <w:jc w:val="left"/>
      </w:pPr>
      <w:r>
        <w:rPr>
          <w:spacing w:val="-5"/>
        </w:rPr>
        <w:t>负债的主要市场进行；不存在主要市场的，本公司假定该交易在相关资产或负债的最有利市场进行。</w:t>
      </w:r>
      <w:r>
        <w:rPr>
          <w:spacing w:val="-16"/>
        </w:rPr>
        <w:t> </w:t>
      </w:r>
      <w:r>
        <w:rPr>
          <w:spacing w:val="-16"/>
        </w:rPr>
      </w:r>
      <w:r>
        <w:rPr/>
        <w:t>主要市场（或最有利市场）是本公司在计量日能够进入的交易市场。本公司采用市场参与者在对该</w:t>
      </w:r>
      <w:r>
        <w:rPr>
          <w:w w:val="100"/>
        </w:rPr>
        <w:t> </w:t>
      </w:r>
      <w:r>
        <w:rPr/>
        <w:t>资产或负债定价时为实现其经济利益最大化所使用的假设。</w:t>
      </w:r>
    </w:p>
    <w:p>
      <w:pPr>
        <w:pStyle w:val="BodyText"/>
        <w:spacing w:line="273" w:lineRule="auto" w:before="8"/>
        <w:ind w:left="153" w:right="210" w:firstLine="420"/>
        <w:jc w:val="both"/>
      </w:pPr>
      <w:r>
        <w:rPr>
          <w:spacing w:val="-2"/>
        </w:rPr>
        <w:t>存在活跃市场的金融资产或金融负债，本公司采用活跃市场中的报价确定其公允价值。金融工</w:t>
      </w:r>
      <w:r>
        <w:rPr>
          <w:w w:val="100"/>
        </w:rPr>
        <w:t> </w:t>
      </w:r>
      <w:r>
        <w:rPr/>
        <w:t>具不存在活跃市场的，本公司采用估值技术确定其公允价值。</w:t>
      </w:r>
    </w:p>
    <w:p>
      <w:pPr>
        <w:pStyle w:val="BodyText"/>
        <w:spacing w:line="273" w:lineRule="auto"/>
        <w:ind w:left="153" w:right="193" w:firstLine="420"/>
        <w:jc w:val="both"/>
      </w:pPr>
      <w:r>
        <w:rPr>
          <w:spacing w:val="-2"/>
        </w:rPr>
        <w:t>以公允价值计量非金融资产的，考虑市场参与者将该资产用于最佳用途产生经济利益的能力，</w:t>
      </w:r>
      <w:r>
        <w:rPr>
          <w:w w:val="100"/>
        </w:rPr>
        <w:t> </w:t>
      </w:r>
      <w:r>
        <w:rPr/>
        <w:t>或者将该资产出售给能够用于最佳用途的其他市场参与者产生经济利益的能力。</w:t>
      </w:r>
    </w:p>
    <w:p>
      <w:pPr>
        <w:pStyle w:val="BodyText"/>
        <w:spacing w:line="273" w:lineRule="auto"/>
        <w:ind w:left="153" w:right="210" w:firstLine="420"/>
        <w:jc w:val="both"/>
      </w:pPr>
      <w:r>
        <w:rPr>
          <w:spacing w:val="-2"/>
        </w:rPr>
        <w:t>本公司采用在当前情况下适用并且有足够可利用数据和其他信息支持的估值技术，优先使用相</w:t>
      </w:r>
      <w:r>
        <w:rPr>
          <w:w w:val="100"/>
        </w:rPr>
        <w:t> </w:t>
      </w:r>
      <w:r>
        <w:rPr>
          <w:spacing w:val="-2"/>
        </w:rPr>
        <w:t>关可观察输入值，只有在可观察输入值无法取得或取得不切实可行的情况下，才使用不可观察输入</w:t>
      </w:r>
      <w:r>
        <w:rPr>
          <w:spacing w:val="-43"/>
        </w:rPr>
        <w:t> </w:t>
      </w:r>
      <w:r>
        <w:rPr>
          <w:spacing w:val="-43"/>
        </w:rPr>
      </w:r>
      <w:r>
        <w:rPr/>
        <w:t>值。</w:t>
      </w:r>
    </w:p>
    <w:p>
      <w:pPr>
        <w:pStyle w:val="BodyText"/>
        <w:spacing w:line="273" w:lineRule="auto" w:before="8"/>
        <w:ind w:left="153" w:right="210" w:firstLine="420"/>
        <w:jc w:val="both"/>
      </w:pPr>
      <w:r>
        <w:rPr>
          <w:spacing w:val="-2"/>
        </w:rPr>
        <w:t>在财务报表中以公允价值计量或披露的资产和负债，根据对公允价值计量整体而言具有重要意</w:t>
      </w:r>
      <w:r>
        <w:rPr>
          <w:w w:val="100"/>
        </w:rPr>
        <w:t> </w:t>
      </w:r>
      <w:r>
        <w:rPr>
          <w:spacing w:val="-2"/>
        </w:rPr>
        <w:t>义的最低层次输入值，确定所属的公允价值层次：第一层次输入值，是在计量日能够取得的相同资</w:t>
      </w:r>
      <w:r>
        <w:rPr>
          <w:spacing w:val="-49"/>
        </w:rPr>
        <w:t> </w:t>
      </w:r>
      <w:r>
        <w:rPr>
          <w:spacing w:val="-49"/>
        </w:rPr>
      </w:r>
      <w:r>
        <w:rPr>
          <w:spacing w:val="-2"/>
        </w:rPr>
        <w:t>产或负债在活跃市场上未经调整的报价；第二层次输入值，是除第一层次输入值外相关资产或负债</w:t>
      </w:r>
      <w:r>
        <w:rPr>
          <w:spacing w:val="-46"/>
        </w:rPr>
        <w:t> </w:t>
      </w:r>
      <w:r>
        <w:rPr>
          <w:spacing w:val="-46"/>
        </w:rPr>
      </w:r>
      <w:r>
        <w:rPr/>
        <w:t>直接或间接可观察的输入值；第三层次输入值，是相关资产或负债的不可观察输入值。</w:t>
      </w:r>
    </w:p>
    <w:p>
      <w:pPr>
        <w:pStyle w:val="BodyText"/>
        <w:spacing w:line="273" w:lineRule="auto" w:before="8"/>
        <w:ind w:left="153" w:right="210" w:firstLine="420"/>
        <w:jc w:val="both"/>
      </w:pPr>
      <w:r>
        <w:rPr>
          <w:spacing w:val="-2"/>
        </w:rPr>
        <w:t>每个资产负债表日，本公司对在财务报表中确认的持续以公允价值计量的资产和负债进行重新</w:t>
      </w:r>
      <w:r>
        <w:rPr>
          <w:w w:val="100"/>
        </w:rPr>
        <w:t> </w:t>
      </w:r>
      <w:r>
        <w:rPr/>
        <w:t>评估，以确定是否在公允价值计量层次之间发生转换。</w:t>
      </w:r>
    </w:p>
    <w:p>
      <w:pPr>
        <w:pStyle w:val="BodyText"/>
        <w:spacing w:line="240" w:lineRule="auto"/>
        <w:ind w:right="46"/>
        <w:jc w:val="left"/>
      </w:pPr>
      <w:r>
        <w:rPr/>
        <w:t>（6）金融资产减值</w:t>
      </w:r>
    </w:p>
    <w:p>
      <w:pPr>
        <w:spacing w:after="0" w:line="240" w:lineRule="auto"/>
        <w:jc w:val="left"/>
        <w:sectPr>
          <w:pgSz w:w="11910" w:h="16840"/>
          <w:pgMar w:header="884" w:footer="1219" w:top="1140" w:bottom="1400" w:left="1320" w:right="1200"/>
        </w:sectPr>
      </w:pPr>
    </w:p>
    <w:p>
      <w:pPr>
        <w:pStyle w:val="BodyText"/>
        <w:spacing w:line="273" w:lineRule="auto" w:before="131"/>
        <w:ind w:left="153" w:right="210" w:firstLine="420"/>
        <w:jc w:val="both"/>
      </w:pPr>
      <w:r>
        <w:rPr>
          <w:spacing w:val="-2"/>
        </w:rPr>
        <w:t>除了以公允价值计量且其变动计入当期损益的金融资产外，本公司于资产负债表日对其他金融</w:t>
      </w:r>
      <w:r>
        <w:rPr>
          <w:w w:val="100"/>
        </w:rPr>
        <w:t> </w:t>
      </w:r>
      <w:r>
        <w:rPr>
          <w:spacing w:val="-2"/>
        </w:rPr>
        <w:t>资产的账面价值进行检查，有客观证据表明该金融资产发生减值的，计提减值准备。表明金融资产</w:t>
      </w:r>
      <w:r>
        <w:rPr>
          <w:spacing w:val="-46"/>
        </w:rPr>
        <w:t> </w:t>
      </w:r>
      <w:r>
        <w:rPr>
          <w:spacing w:val="-46"/>
        </w:rPr>
      </w:r>
      <w:r>
        <w:rPr>
          <w:spacing w:val="-2"/>
        </w:rPr>
        <w:t>发生减值的客观证据，是指金融资产初始确认后实际发生的、对该金融资产的预计未来现金流量有</w:t>
      </w:r>
      <w:r>
        <w:rPr>
          <w:spacing w:val="-46"/>
        </w:rPr>
        <w:t> </w:t>
      </w:r>
      <w:r>
        <w:rPr>
          <w:spacing w:val="-46"/>
        </w:rPr>
      </w:r>
      <w:r>
        <w:rPr/>
        <w:t>影响，且企业能够对该影响进行可靠计量的事项。</w:t>
      </w:r>
    </w:p>
    <w:p>
      <w:pPr>
        <w:pStyle w:val="BodyText"/>
        <w:spacing w:line="240" w:lineRule="auto"/>
        <w:ind w:right="46"/>
        <w:jc w:val="left"/>
      </w:pPr>
      <w:r>
        <w:rPr/>
        <w:t>金融资产发生减值的客观证据，包括下列可观察到的情形：</w:t>
      </w:r>
    </w:p>
    <w:p>
      <w:pPr>
        <w:pStyle w:val="BodyText"/>
        <w:spacing w:line="240" w:lineRule="auto" w:before="37"/>
        <w:ind w:right="46"/>
        <w:jc w:val="left"/>
      </w:pPr>
      <w:r>
        <w:rPr/>
        <w:t>①发行方或债务人发生严重财务困难；</w:t>
      </w:r>
    </w:p>
    <w:p>
      <w:pPr>
        <w:pStyle w:val="BodyText"/>
        <w:spacing w:line="240" w:lineRule="auto" w:before="37"/>
        <w:ind w:right="46"/>
        <w:jc w:val="left"/>
      </w:pPr>
      <w:r>
        <w:rPr/>
        <w:t>②债务人违反了合同条款，如偿付利息或本金发生违约或逾期等；</w:t>
      </w:r>
    </w:p>
    <w:p>
      <w:pPr>
        <w:pStyle w:val="BodyText"/>
        <w:spacing w:line="240" w:lineRule="auto" w:before="37"/>
        <w:ind w:right="46"/>
        <w:jc w:val="left"/>
      </w:pPr>
      <w:r>
        <w:rPr/>
        <w:t>③本公司出于经济或法律等方面因素的考虑，对发生财务困难的债务人作出让步；</w:t>
      </w:r>
    </w:p>
    <w:p>
      <w:pPr>
        <w:pStyle w:val="BodyText"/>
        <w:spacing w:line="240" w:lineRule="auto" w:before="37"/>
        <w:ind w:right="46"/>
        <w:jc w:val="left"/>
      </w:pPr>
      <w:r>
        <w:rPr/>
        <w:t>④债务人很可能倒闭或者进行其他财务重组；</w:t>
      </w:r>
    </w:p>
    <w:p>
      <w:pPr>
        <w:pStyle w:val="BodyText"/>
        <w:spacing w:line="240" w:lineRule="auto" w:before="37"/>
        <w:ind w:right="46"/>
        <w:jc w:val="left"/>
      </w:pPr>
      <w:r>
        <w:rPr/>
        <w:t>⑤因发行方发生重大财务困难，导致金融资产无法在活跃市场继续交易；</w:t>
      </w:r>
    </w:p>
    <w:p>
      <w:pPr>
        <w:pStyle w:val="BodyText"/>
        <w:spacing w:line="273" w:lineRule="auto" w:before="37"/>
        <w:ind w:left="153" w:right="210" w:firstLine="420"/>
        <w:jc w:val="both"/>
      </w:pPr>
      <w:r>
        <w:rPr>
          <w:spacing w:val="-2"/>
        </w:rPr>
        <w:t>⑥无法辨认一组金融资产中的某项资产的现金流量是否已经减少，但根据公开的数据对其进行</w:t>
      </w:r>
      <w:r>
        <w:rPr>
          <w:w w:val="100"/>
        </w:rPr>
        <w:t> </w:t>
      </w:r>
      <w:r>
        <w:rPr/>
        <w:t>总体评价后发现，该组金融资产自初始确认以来的预计未来现金流量确已减少且可计量，包括：</w:t>
      </w:r>
    </w:p>
    <w:p>
      <w:pPr>
        <w:pStyle w:val="BodyText"/>
        <w:spacing w:line="240" w:lineRule="auto" w:before="8"/>
        <w:ind w:right="46"/>
        <w:jc w:val="left"/>
      </w:pPr>
      <w:r>
        <w:rPr/>
        <w:t>-该组金融资产的债务人支付能力逐步恶化；</w:t>
      </w:r>
    </w:p>
    <w:p>
      <w:pPr>
        <w:pStyle w:val="BodyText"/>
        <w:spacing w:line="240" w:lineRule="auto" w:before="37"/>
        <w:ind w:right="46"/>
        <w:jc w:val="left"/>
      </w:pPr>
      <w:r>
        <w:rPr/>
        <w:t>-债务人所在国家或地区经济出现了可能导致该组金融资产无法支付的状况；</w:t>
      </w:r>
    </w:p>
    <w:p>
      <w:pPr>
        <w:pStyle w:val="BodyText"/>
        <w:spacing w:line="273" w:lineRule="auto" w:before="37"/>
        <w:ind w:left="153" w:right="212" w:firstLine="420"/>
        <w:jc w:val="both"/>
      </w:pPr>
      <w:r>
        <w:rPr>
          <w:spacing w:val="-2"/>
        </w:rPr>
        <w:t>⑦债务人经营所处的技术、市场、经济或法律环境等发生重大不利变化，使权益工具投资人可</w:t>
      </w:r>
      <w:r>
        <w:rPr>
          <w:w w:val="100"/>
        </w:rPr>
        <w:t> </w:t>
      </w:r>
      <w:r>
        <w:rPr/>
        <w:t>能无法收回投资成本；</w:t>
      </w:r>
    </w:p>
    <w:p>
      <w:pPr>
        <w:pStyle w:val="BodyText"/>
        <w:spacing w:line="273" w:lineRule="auto" w:before="8"/>
        <w:ind w:left="153" w:right="210" w:firstLine="420"/>
        <w:jc w:val="both"/>
      </w:pPr>
      <w:r>
        <w:rPr>
          <w:spacing w:val="-2"/>
        </w:rPr>
        <w:t>⑧权益工具投资的公允价值发生严重或非暂时性下跌，如权益工具投资于资产负债表日的公允</w:t>
      </w:r>
      <w:r>
        <w:rPr>
          <w:w w:val="100"/>
        </w:rPr>
        <w:t> </w:t>
      </w:r>
      <w:r>
        <w:rPr/>
        <w:t>价值低于其初始投资成本超过</w:t>
      </w:r>
      <w:r>
        <w:rPr>
          <w:spacing w:val="-27"/>
        </w:rPr>
        <w:t> </w:t>
      </w:r>
      <w:r>
        <w:rPr/>
        <w:t>50%（含</w:t>
      </w:r>
      <w:r>
        <w:rPr>
          <w:spacing w:val="-27"/>
        </w:rPr>
        <w:t> </w:t>
      </w:r>
      <w:r>
        <w:rPr/>
        <w:t>50%）或低于其初始投资成本持续时间超过</w:t>
      </w:r>
      <w:r>
        <w:rPr>
          <w:spacing w:val="-25"/>
        </w:rPr>
        <w:t> </w:t>
      </w:r>
      <w:r>
        <w:rPr/>
        <w:t>12</w:t>
      </w:r>
      <w:r>
        <w:rPr>
          <w:spacing w:val="-25"/>
        </w:rPr>
        <w:t> </w:t>
      </w:r>
      <w:r>
        <w:rPr/>
        <w:t>个月（含</w:t>
      </w:r>
      <w:r>
        <w:rPr>
          <w:spacing w:val="-25"/>
        </w:rPr>
        <w:t> </w:t>
      </w:r>
      <w:r>
        <w:rPr/>
        <w:t>12</w:t>
      </w:r>
      <w:r>
        <w:rPr>
          <w:w w:val="100"/>
        </w:rPr>
        <w:t> </w:t>
      </w:r>
      <w:r>
        <w:rPr>
          <w:spacing w:val="-27"/>
          <w:w w:val="100"/>
        </w:rPr>
        <w:t>个月）。</w:t>
      </w:r>
    </w:p>
    <w:p>
      <w:pPr>
        <w:pStyle w:val="BodyText"/>
        <w:spacing w:line="273" w:lineRule="auto"/>
        <w:ind w:left="153" w:right="214" w:firstLine="420"/>
        <w:jc w:val="both"/>
      </w:pPr>
      <w:r>
        <w:rPr/>
        <w:t>低于其初始投资成本持续时间超过</w:t>
      </w:r>
      <w:r>
        <w:rPr>
          <w:spacing w:val="-56"/>
        </w:rPr>
        <w:t> </w:t>
      </w:r>
      <w:r>
        <w:rPr/>
        <w:t>12</w:t>
      </w:r>
      <w:r>
        <w:rPr>
          <w:spacing w:val="-56"/>
        </w:rPr>
        <w:t> </w:t>
      </w:r>
      <w:r>
        <w:rPr>
          <w:spacing w:val="-3"/>
        </w:rPr>
        <w:t>个月（含</w:t>
      </w:r>
      <w:r>
        <w:rPr>
          <w:spacing w:val="-55"/>
        </w:rPr>
        <w:t> </w:t>
      </w:r>
      <w:r>
        <w:rPr/>
        <w:t>12</w:t>
      </w:r>
      <w:r>
        <w:rPr>
          <w:spacing w:val="-58"/>
        </w:rPr>
        <w:t> </w:t>
      </w:r>
      <w:r>
        <w:rPr/>
        <w:t>个月）是指，权益工具投资公允价值月度均</w:t>
      </w:r>
      <w:r>
        <w:rPr>
          <w:w w:val="100"/>
        </w:rPr>
        <w:t> </w:t>
      </w:r>
      <w:r>
        <w:rPr/>
        <w:t>值连续</w:t>
      </w:r>
      <w:r>
        <w:rPr>
          <w:spacing w:val="-54"/>
        </w:rPr>
        <w:t> </w:t>
      </w:r>
      <w:r>
        <w:rPr/>
        <w:t>12</w:t>
      </w:r>
      <w:r>
        <w:rPr>
          <w:spacing w:val="-56"/>
        </w:rPr>
        <w:t> </w:t>
      </w:r>
      <w:r>
        <w:rPr/>
        <w:t>个月均低于其初始投资成本；</w:t>
      </w:r>
    </w:p>
    <w:p>
      <w:pPr>
        <w:pStyle w:val="BodyText"/>
        <w:spacing w:line="273" w:lineRule="auto"/>
        <w:ind w:right="3345"/>
        <w:jc w:val="left"/>
      </w:pPr>
      <w:r>
        <w:rPr>
          <w:spacing w:val="-2"/>
        </w:rPr>
        <w:t>⑨其他表明金融资产发生减值的客观证据。</w:t>
      </w:r>
      <w:r>
        <w:rPr>
          <w:spacing w:val="-69"/>
        </w:rPr>
        <w:t> </w:t>
      </w:r>
      <w:r>
        <w:rPr>
          <w:spacing w:val="-69"/>
        </w:rPr>
      </w:r>
      <w:r>
        <w:rPr/>
        <w:t>以摊余成本计量的金融资产</w:t>
      </w:r>
    </w:p>
    <w:p>
      <w:pPr>
        <w:pStyle w:val="BodyText"/>
        <w:spacing w:line="273" w:lineRule="auto" w:before="8"/>
        <w:ind w:left="153" w:right="210" w:firstLine="420"/>
        <w:jc w:val="both"/>
      </w:pPr>
      <w:r>
        <w:rPr>
          <w:spacing w:val="-2"/>
        </w:rPr>
        <w:t>如果有客观证据表明该金融资产发生减值，则将该金融资产的账面价值减记至预计未来现金流</w:t>
      </w:r>
      <w:r>
        <w:rPr>
          <w:w w:val="100"/>
        </w:rPr>
        <w:t> </w:t>
      </w:r>
      <w:r>
        <w:rPr>
          <w:spacing w:val="-2"/>
        </w:rPr>
        <w:t>量（不包括尚未发生的未来信用损失）现值，减记金额计入当期损益。预计未来现金流量现值，按</w:t>
      </w:r>
      <w:r>
        <w:rPr>
          <w:spacing w:val="-47"/>
        </w:rPr>
        <w:t> </w:t>
      </w:r>
      <w:r>
        <w:rPr>
          <w:spacing w:val="-47"/>
        </w:rPr>
      </w:r>
      <w:r>
        <w:rPr/>
        <w:t>照该金融资产原实际利率折现确定，并考虑相关担保物的价值。</w:t>
      </w:r>
    </w:p>
    <w:p>
      <w:pPr>
        <w:pStyle w:val="BodyText"/>
        <w:spacing w:line="273" w:lineRule="auto"/>
        <w:ind w:left="153" w:right="210" w:firstLine="420"/>
        <w:jc w:val="both"/>
      </w:pPr>
      <w:r>
        <w:rPr>
          <w:spacing w:val="-2"/>
        </w:rPr>
        <w:t>对单项金额重大的金融资产单独进行减值测试，如有客观证据表明其已发生减值，确认减值损</w:t>
      </w:r>
      <w:r>
        <w:rPr>
          <w:w w:val="100"/>
        </w:rPr>
        <w:t> </w:t>
      </w:r>
      <w:r>
        <w:rPr>
          <w:spacing w:val="-2"/>
        </w:rPr>
        <w:t>失，计入当期损益。对单项金额不重大的金融资产，单独进行减值测试或包括在具有类似信用风险</w:t>
      </w:r>
      <w:r>
        <w:rPr>
          <w:spacing w:val="-46"/>
        </w:rPr>
        <w:t> </w:t>
      </w:r>
      <w:r>
        <w:rPr>
          <w:spacing w:val="-46"/>
        </w:rPr>
      </w:r>
      <w:r>
        <w:rPr>
          <w:spacing w:val="-2"/>
        </w:rPr>
        <w:t>特征的金融资产组合中进行减值测试。单独测试未发生减值的金融资产（包括单项金额重大和不重</w:t>
      </w:r>
      <w:r>
        <w:rPr>
          <w:spacing w:val="-45"/>
        </w:rPr>
        <w:t> </w:t>
      </w:r>
      <w:r>
        <w:rPr>
          <w:spacing w:val="-45"/>
        </w:rPr>
      </w:r>
      <w:r>
        <w:rPr>
          <w:spacing w:val="-2"/>
          <w:w w:val="100"/>
        </w:rPr>
        <w:t>大的金融资产），包括在具有类似信用风险特征的金融资产组合中再进行减值测试。已单项确认减</w:t>
      </w:r>
      <w:r>
        <w:rPr>
          <w:spacing w:val="-93"/>
          <w:w w:val="100"/>
        </w:rPr>
        <w:t> </w:t>
      </w:r>
      <w:r>
        <w:rPr>
          <w:spacing w:val="-93"/>
          <w:w w:val="100"/>
        </w:rPr>
      </w:r>
      <w:r>
        <w:rPr/>
        <w:t>值损失的金融资产，不包括在具有类似信用风险特征的金融资产组合中进行减值测试。</w:t>
      </w:r>
    </w:p>
    <w:p>
      <w:pPr>
        <w:pStyle w:val="BodyText"/>
        <w:spacing w:line="273" w:lineRule="auto" w:before="8"/>
        <w:ind w:left="153" w:right="46" w:firstLine="420"/>
        <w:jc w:val="left"/>
      </w:pPr>
      <w:r>
        <w:rPr/>
        <w:t>本公司对以摊余成本计量的金融资产确认减值损失后，如有客观证据表明该金融资产价值已恢</w:t>
      </w:r>
      <w:r>
        <w:rPr>
          <w:w w:val="100"/>
        </w:rPr>
        <w:t> </w:t>
      </w:r>
      <w:r>
        <w:rPr>
          <w:spacing w:val="-5"/>
        </w:rPr>
        <w:t>复，且客观上与确认该损失后发生的事项有关，原确认的减值损失予以转回，计入当期损益。但是，</w:t>
      </w:r>
      <w:r>
        <w:rPr>
          <w:spacing w:val="-13"/>
        </w:rPr>
        <w:t> </w:t>
      </w:r>
      <w:r>
        <w:rPr>
          <w:spacing w:val="-13"/>
        </w:rPr>
      </w:r>
      <w:r>
        <w:rPr/>
        <w:t>该转回后的账面价值不超过假定不计提减值准备情况下该金融资产在转回日的摊余成本。</w:t>
      </w:r>
    </w:p>
    <w:p>
      <w:pPr>
        <w:pStyle w:val="BodyText"/>
        <w:spacing w:line="273" w:lineRule="auto" w:before="8"/>
        <w:ind w:right="46"/>
        <w:jc w:val="left"/>
      </w:pPr>
      <w:r>
        <w:rPr/>
        <w:t>可供出售金融资产</w:t>
      </w:r>
      <w:r>
        <w:rPr>
          <w:w w:val="100"/>
        </w:rPr>
        <w:t> </w:t>
      </w:r>
      <w:r>
        <w:rPr>
          <w:spacing w:val="-2"/>
        </w:rPr>
        <w:t>如果有客观证据表明该金融资产发生减值，原直接计入其他综合收益的因公允价值下降形成的</w:t>
      </w:r>
    </w:p>
    <w:p>
      <w:pPr>
        <w:pStyle w:val="BodyText"/>
        <w:spacing w:line="273" w:lineRule="auto"/>
        <w:ind w:left="153" w:right="46"/>
        <w:jc w:val="left"/>
      </w:pPr>
      <w:r>
        <w:rPr>
          <w:spacing w:val="-2"/>
        </w:rPr>
        <w:t>累计损失，予以转出，计入当期损益。该转出的累计损失，为可供出售金融资产的初始取得成本扣</w:t>
      </w:r>
      <w:r>
        <w:rPr>
          <w:spacing w:val="-45"/>
        </w:rPr>
        <w:t> </w:t>
      </w:r>
      <w:r>
        <w:rPr>
          <w:spacing w:val="-45"/>
        </w:rPr>
      </w:r>
      <w:r>
        <w:rPr/>
        <w:t>除已收回本金和已摊销金额、当前公允价值和原已计入损益的减值损失后的余额。</w:t>
      </w:r>
    </w:p>
    <w:p>
      <w:pPr>
        <w:pStyle w:val="BodyText"/>
        <w:spacing w:line="273" w:lineRule="auto" w:before="8"/>
        <w:ind w:left="153" w:right="210" w:firstLine="420"/>
        <w:jc w:val="both"/>
      </w:pPr>
      <w:r>
        <w:rPr>
          <w:spacing w:val="-2"/>
        </w:rPr>
        <w:t>对于已确认减值损失的可供出售债务工具，在随后的会计期间公允价值已上升且客观上与确认</w:t>
      </w:r>
      <w:r>
        <w:rPr>
          <w:w w:val="100"/>
        </w:rPr>
        <w:t> </w:t>
      </w:r>
      <w:r>
        <w:rPr>
          <w:spacing w:val="-2"/>
        </w:rPr>
        <w:t>原减值损失确认后发生的事项有关的，原确认的减值损失予以转回，计入当期损益。可供出售权益</w:t>
      </w:r>
      <w:r>
        <w:rPr>
          <w:spacing w:val="-46"/>
        </w:rPr>
        <w:t> </w:t>
      </w:r>
      <w:r>
        <w:rPr>
          <w:spacing w:val="-46"/>
        </w:rPr>
      </w:r>
      <w:r>
        <w:rPr/>
        <w:t>工具投资发生的减值损失，不通过损益转回。</w:t>
      </w:r>
    </w:p>
    <w:p>
      <w:pPr>
        <w:pStyle w:val="BodyText"/>
        <w:spacing w:line="273" w:lineRule="auto"/>
        <w:ind w:right="46"/>
        <w:jc w:val="left"/>
      </w:pPr>
      <w:r>
        <w:rPr/>
        <w:t>以成本计量的金融资产</w:t>
      </w:r>
      <w:r>
        <w:rPr>
          <w:w w:val="100"/>
        </w:rPr>
        <w:t> </w:t>
      </w:r>
      <w:r>
        <w:rPr>
          <w:spacing w:val="-2"/>
        </w:rPr>
        <w:t>在活跃市场中没有报价且其公允价值不能可靠计量的权益工具投资，或与该权益工具挂钩并须</w:t>
      </w:r>
    </w:p>
    <w:p>
      <w:pPr>
        <w:pStyle w:val="BodyText"/>
        <w:spacing w:line="273" w:lineRule="auto"/>
        <w:ind w:left="153" w:right="46"/>
        <w:jc w:val="left"/>
      </w:pPr>
      <w:r>
        <w:rPr/>
        <w:t>通过交付该权益工具结算的衍生金融资产发生减值时，将该金融资产的账面价值，与按照类似金融</w:t>
      </w:r>
      <w:r>
        <w:rPr>
          <w:w w:val="100"/>
        </w:rPr>
        <w:t> </w:t>
      </w:r>
      <w:r>
        <w:rPr>
          <w:spacing w:val="-5"/>
        </w:rPr>
        <w:t>资产当时市场收益率对未来现金流量折现确定的现值之间的差额，确认为减值损失，计入当期损益。</w:t>
      </w:r>
    </w:p>
    <w:p>
      <w:pPr>
        <w:spacing w:after="0" w:line="273" w:lineRule="auto"/>
        <w:jc w:val="left"/>
        <w:sectPr>
          <w:pgSz w:w="11910" w:h="16840"/>
          <w:pgMar w:header="884" w:footer="1219" w:top="1140" w:bottom="1400" w:left="1320" w:right="1200"/>
        </w:sectPr>
      </w:pPr>
    </w:p>
    <w:p>
      <w:pPr>
        <w:pStyle w:val="BodyText"/>
        <w:spacing w:line="240" w:lineRule="auto" w:before="131"/>
        <w:ind w:left="213" w:right="0"/>
        <w:jc w:val="both"/>
      </w:pPr>
      <w:r>
        <w:rPr/>
        <w:t>发生的减值损失一经确认，不得转回。</w:t>
      </w:r>
    </w:p>
    <w:p>
      <w:pPr>
        <w:pStyle w:val="BodyText"/>
        <w:spacing w:line="273" w:lineRule="auto" w:before="37"/>
        <w:ind w:left="633" w:right="0"/>
        <w:jc w:val="left"/>
      </w:pPr>
      <w:r>
        <w:rPr/>
        <w:t>（7）金融资产转移</w:t>
      </w:r>
      <w:r>
        <w:rPr>
          <w:w w:val="100"/>
        </w:rPr>
        <w:t> </w:t>
      </w:r>
      <w:r>
        <w:rPr>
          <w:spacing w:val="-4"/>
          <w:w w:val="100"/>
        </w:rPr>
        <w:t>金融资产转移，是指将金融资产让与或交付给该金融资产发行方以外的另一方（转入方）。</w:t>
      </w:r>
      <w:r>
        <w:rPr>
          <w:w w:val="100"/>
        </w:rPr>
        <w:t> </w:t>
      </w:r>
      <w:r>
        <w:rPr>
          <w:spacing w:val="-2"/>
        </w:rPr>
        <w:t>本公司已将金融资产所有权上几乎所有的风险和报酬转移给转入方的，终止确认该金融资产；</w:t>
      </w:r>
    </w:p>
    <w:p>
      <w:pPr>
        <w:pStyle w:val="BodyText"/>
        <w:spacing w:line="273" w:lineRule="auto"/>
        <w:ind w:left="633" w:right="0" w:hanging="421"/>
        <w:jc w:val="left"/>
      </w:pPr>
      <w:r>
        <w:rPr/>
        <w:t>保留了金融资产所有权上几乎所有的风险和报酬的，不终止确认该金融资产。</w:t>
      </w:r>
      <w:r>
        <w:rPr>
          <w:w w:val="100"/>
        </w:rPr>
        <w:t> </w:t>
      </w:r>
      <w:r>
        <w:rPr>
          <w:spacing w:val="2"/>
        </w:rPr>
        <w:t>本公司既没有转移也没有保留金融资产所有权上几乎所有的风险和报酬的，分别下列情况处</w:t>
      </w:r>
    </w:p>
    <w:p>
      <w:pPr>
        <w:pStyle w:val="BodyText"/>
        <w:spacing w:line="273" w:lineRule="auto"/>
        <w:ind w:left="213" w:right="233"/>
        <w:jc w:val="both"/>
      </w:pPr>
      <w:r>
        <w:rPr>
          <w:spacing w:val="-2"/>
        </w:rPr>
        <w:t>理：放弃了对该金融资产控制的，终止确认该金融资产并确认产生的资产和负债；未放弃对该金融</w:t>
      </w:r>
      <w:r>
        <w:rPr>
          <w:spacing w:val="-46"/>
        </w:rPr>
        <w:t> </w:t>
      </w:r>
      <w:r>
        <w:rPr>
          <w:spacing w:val="-46"/>
        </w:rPr>
      </w:r>
      <w:r>
        <w:rPr/>
        <w:t>资产控制的，按照其继续涉入所转移金融资产的程度确认有关金融资产，并相应确认有关负债。</w:t>
      </w:r>
    </w:p>
    <w:p>
      <w:pPr>
        <w:pStyle w:val="BodyText"/>
        <w:spacing w:line="273" w:lineRule="auto"/>
        <w:ind w:left="633" w:right="0"/>
        <w:jc w:val="left"/>
      </w:pPr>
      <w:r>
        <w:rPr/>
        <w:t>（8）金融资产和金融负债的抵销</w:t>
      </w:r>
      <w:r>
        <w:rPr>
          <w:w w:val="100"/>
        </w:rPr>
        <w:t> </w:t>
      </w:r>
      <w:r>
        <w:rPr>
          <w:spacing w:val="-2"/>
        </w:rPr>
        <w:t>当本公司具有抵销已确认金融资产和金融负债的法定权利，且目前可执行该种法定权利，同时</w:t>
      </w:r>
    </w:p>
    <w:p>
      <w:pPr>
        <w:pStyle w:val="BodyText"/>
        <w:spacing w:line="273" w:lineRule="auto"/>
        <w:ind w:left="213" w:right="230"/>
        <w:jc w:val="both"/>
      </w:pPr>
      <w:r>
        <w:rPr>
          <w:spacing w:val="-2"/>
        </w:rPr>
        <w:t>本公司计划以净额结算或同时变现该金融资产和清偿该金融负债时，金融资产和金融负债以相互抵</w:t>
      </w:r>
      <w:r>
        <w:rPr>
          <w:spacing w:val="-42"/>
        </w:rPr>
        <w:t> </w:t>
      </w:r>
      <w:r>
        <w:rPr>
          <w:spacing w:val="-42"/>
        </w:rPr>
      </w:r>
      <w:r>
        <w:rPr>
          <w:spacing w:val="-2"/>
        </w:rPr>
        <w:t>销后的金额在资产负债表内列示。除此以外，金融资产和金融负债在资产负债表内分别列示，不予</w:t>
      </w:r>
      <w:r>
        <w:rPr>
          <w:spacing w:val="-43"/>
        </w:rPr>
        <w:t> </w:t>
      </w:r>
      <w:r>
        <w:rPr>
          <w:spacing w:val="-43"/>
        </w:rPr>
      </w:r>
      <w:r>
        <w:rPr/>
        <w:t>相互抵销。</w:t>
      </w:r>
    </w:p>
    <w:p>
      <w:pPr>
        <w:pStyle w:val="BodyText"/>
        <w:spacing w:line="259" w:lineRule="auto" w:before="77"/>
        <w:ind w:left="633" w:right="0" w:firstLine="2"/>
        <w:jc w:val="left"/>
      </w:pPr>
      <w:r>
        <w:rPr>
          <w:rFonts w:ascii="宋体" w:hAnsi="宋体" w:cs="宋体" w:eastAsia="宋体" w:hint="default"/>
          <w:b/>
          <w:bCs/>
        </w:rPr>
        <w:t>9、应收款项</w:t>
      </w:r>
      <w:r>
        <w:rPr>
          <w:rFonts w:ascii="宋体" w:hAnsi="宋体" w:cs="宋体" w:eastAsia="宋体" w:hint="default"/>
          <w:b/>
          <w:bCs/>
          <w:w w:val="100"/>
        </w:rPr>
        <w:t> </w:t>
      </w:r>
      <w:r>
        <w:rPr>
          <w:spacing w:val="-2"/>
        </w:rPr>
        <w:t>本公司应收款项（包括应收账款和其他应收款等）按合同或协议价款作为初始入账金额。凡因</w:t>
      </w:r>
    </w:p>
    <w:p>
      <w:pPr>
        <w:pStyle w:val="BodyText"/>
        <w:spacing w:line="273" w:lineRule="auto" w:before="20"/>
        <w:ind w:left="213" w:right="232"/>
        <w:jc w:val="both"/>
      </w:pPr>
      <w:r>
        <w:rPr>
          <w:spacing w:val="-2"/>
        </w:rPr>
        <w:t>债务人破产，依照法律清偿程序清偿后仍无法收回；或因债务人死亡，既无遗产可供清偿，又无义</w:t>
      </w:r>
      <w:r>
        <w:rPr>
          <w:spacing w:val="-45"/>
        </w:rPr>
        <w:t> </w:t>
      </w:r>
      <w:r>
        <w:rPr>
          <w:spacing w:val="-45"/>
        </w:rPr>
      </w:r>
      <w:r>
        <w:rPr>
          <w:spacing w:val="-2"/>
        </w:rPr>
        <w:t>务承担人，确实无法收回；或因债务人逾期未能履行偿债义务，经法定程序审核批准，该等应收款</w:t>
      </w:r>
      <w:r>
        <w:rPr>
          <w:spacing w:val="-45"/>
        </w:rPr>
        <w:t> </w:t>
      </w:r>
      <w:r>
        <w:rPr>
          <w:spacing w:val="-45"/>
        </w:rPr>
      </w:r>
      <w:r>
        <w:rPr/>
        <w:t>项列为坏账损失。</w:t>
      </w:r>
    </w:p>
    <w:p>
      <w:pPr>
        <w:pStyle w:val="BodyText"/>
        <w:spacing w:line="273" w:lineRule="auto" w:before="8"/>
        <w:ind w:left="633" w:right="0"/>
        <w:jc w:val="left"/>
      </w:pPr>
      <w:r>
        <w:rPr/>
        <w:t>（1）单项金额重大的应收款项坏账准备的确认标准及计提方法：</w:t>
      </w:r>
      <w:r>
        <w:rPr>
          <w:w w:val="100"/>
        </w:rPr>
        <w:t> </w:t>
      </w:r>
      <w:r>
        <w:rPr>
          <w:spacing w:val="-2"/>
        </w:rPr>
        <w:t>本公司将单项金额重大的具体标准确定为：账龄三年以上且单项金额伍拾万元以上的应收款项</w:t>
      </w:r>
    </w:p>
    <w:p>
      <w:pPr>
        <w:pStyle w:val="BodyText"/>
        <w:spacing w:line="273" w:lineRule="auto"/>
        <w:ind w:left="213" w:right="232"/>
        <w:jc w:val="both"/>
      </w:pPr>
      <w:r>
        <w:rPr>
          <w:spacing w:val="-2"/>
        </w:rPr>
        <w:t>前十名，若符合条件的少于十名，除按上述条件划分的单项重大应收款项外，其余应收款项不分帐</w:t>
      </w:r>
      <w:r>
        <w:rPr>
          <w:spacing w:val="-46"/>
        </w:rPr>
        <w:t> </w:t>
      </w:r>
      <w:r>
        <w:rPr>
          <w:spacing w:val="-46"/>
        </w:rPr>
      </w:r>
      <w:r>
        <w:rPr/>
        <w:t>龄，按款项金额大小取足前十位。</w:t>
      </w:r>
    </w:p>
    <w:p>
      <w:pPr>
        <w:pStyle w:val="BodyText"/>
        <w:spacing w:line="273" w:lineRule="auto" w:before="8"/>
        <w:ind w:left="213" w:right="230" w:firstLine="420"/>
        <w:jc w:val="both"/>
      </w:pPr>
      <w:r>
        <w:rPr>
          <w:spacing w:val="-2"/>
        </w:rPr>
        <w:t>在资产负债表日，除对列入合并财务报表范围核算单位的应收款项不计提坏账准备之外，本公</w:t>
      </w:r>
      <w:r>
        <w:rPr>
          <w:w w:val="100"/>
        </w:rPr>
        <w:t> </w:t>
      </w:r>
      <w:r>
        <w:rPr>
          <w:spacing w:val="-2"/>
        </w:rPr>
        <w:t>司对单项金额重大的应收款项单独进行减值测试，经测试发生了减值的，按其未来现金流量现值低</w:t>
      </w:r>
      <w:r>
        <w:rPr>
          <w:spacing w:val="-45"/>
        </w:rPr>
        <w:t> </w:t>
      </w:r>
      <w:r>
        <w:rPr>
          <w:spacing w:val="-45"/>
        </w:rPr>
      </w:r>
      <w:r>
        <w:rPr>
          <w:spacing w:val="-2"/>
        </w:rPr>
        <w:t>于其账面价值的差额，确定减值损失，计提坏账准备；对单项测试未减值的应收款项，汇同按组合</w:t>
      </w:r>
      <w:r>
        <w:rPr>
          <w:spacing w:val="-45"/>
        </w:rPr>
        <w:t> </w:t>
      </w:r>
      <w:r>
        <w:rPr>
          <w:spacing w:val="-45"/>
        </w:rPr>
      </w:r>
      <w:r>
        <w:rPr/>
        <w:t>计提减值准备的应收账款，计提坏账准备。</w:t>
      </w:r>
    </w:p>
    <w:p>
      <w:pPr>
        <w:pStyle w:val="BodyText"/>
        <w:spacing w:line="273" w:lineRule="auto" w:before="8"/>
        <w:ind w:left="633" w:right="0"/>
        <w:jc w:val="left"/>
      </w:pPr>
      <w:r>
        <w:rPr/>
        <w:t>（2）按组合计提坏账准备的应收款项确定组合的依据及计提方法：</w:t>
      </w:r>
      <w:r>
        <w:rPr>
          <w:w w:val="100"/>
        </w:rPr>
        <w:t> </w:t>
      </w:r>
      <w:r>
        <w:rPr>
          <w:spacing w:val="-2"/>
        </w:rPr>
        <w:t>除了单项金额重大及单项金额虽不重大但单项计提坏账准备的应收款项外，按组合计提坏账准</w:t>
      </w:r>
    </w:p>
    <w:p>
      <w:pPr>
        <w:pStyle w:val="BodyText"/>
        <w:spacing w:line="240" w:lineRule="auto"/>
        <w:ind w:left="213" w:right="0"/>
        <w:jc w:val="both"/>
      </w:pPr>
      <w:r>
        <w:rPr/>
        <w:t>备的应收款项坏账准备的计提采用账龄分析法。具体计提比例如下：</w:t>
      </w:r>
    </w:p>
    <w:p>
      <w:pPr>
        <w:spacing w:line="240" w:lineRule="auto" w:before="0"/>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016"/>
        <w:gridCol w:w="4214"/>
      </w:tblGrid>
      <w:tr>
        <w:trPr>
          <w:trHeight w:val="324"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r>
      <w:tr>
        <w:trPr>
          <w:trHeight w:val="322"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5%</w:t>
            </w:r>
          </w:p>
        </w:tc>
      </w:tr>
      <w:tr>
        <w:trPr>
          <w:trHeight w:val="322"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10%</w:t>
            </w:r>
          </w:p>
        </w:tc>
      </w:tr>
      <w:tr>
        <w:trPr>
          <w:trHeight w:val="322"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40%</w:t>
            </w:r>
          </w:p>
        </w:tc>
      </w:tr>
      <w:tr>
        <w:trPr>
          <w:trHeight w:val="322"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80%</w:t>
            </w:r>
          </w:p>
        </w:tc>
      </w:tr>
    </w:tbl>
    <w:p>
      <w:pPr>
        <w:pStyle w:val="BodyText"/>
        <w:spacing w:line="273" w:lineRule="auto" w:before="81"/>
        <w:ind w:left="633" w:right="0"/>
        <w:jc w:val="left"/>
      </w:pPr>
      <w:r>
        <w:rPr/>
        <w:t>（3）单项金额虽不重大但单项计提坏账准备的应收款项确认标准及计提方法：</w:t>
      </w:r>
      <w:r>
        <w:rPr>
          <w:w w:val="100"/>
        </w:rPr>
        <w:t> </w:t>
      </w:r>
      <w:r>
        <w:rPr>
          <w:spacing w:val="-2"/>
        </w:rPr>
        <w:t>本公司对账龄三年以上、且有证据表明回收已存在风险的应收款项单项计提坏账准备。坏账准</w:t>
      </w:r>
    </w:p>
    <w:p>
      <w:pPr>
        <w:pStyle w:val="BodyText"/>
        <w:spacing w:line="333" w:lineRule="auto"/>
        <w:ind w:left="635" w:right="3229" w:hanging="423"/>
        <w:jc w:val="left"/>
        <w:rPr>
          <w:rFonts w:ascii="宋体" w:hAnsi="宋体" w:cs="宋体" w:eastAsia="宋体" w:hint="default"/>
        </w:rPr>
      </w:pPr>
      <w:r>
        <w:rPr>
          <w:spacing w:val="-2"/>
        </w:rPr>
        <w:t>备根据其未来现金流量现值低于其账面价值的差额计提。</w:t>
      </w:r>
      <w:r>
        <w:rPr>
          <w:spacing w:val="-55"/>
        </w:rPr>
        <w:t> </w:t>
      </w:r>
      <w:r>
        <w:rPr>
          <w:spacing w:val="-55"/>
        </w:rPr>
      </w:r>
      <w:r>
        <w:rPr>
          <w:rFonts w:ascii="宋体" w:hAnsi="宋体" w:cs="宋体" w:eastAsia="宋体" w:hint="default"/>
          <w:b/>
          <w:bCs/>
        </w:rPr>
        <w:t>10、存货</w:t>
      </w:r>
      <w:r>
        <w:rPr>
          <w:rFonts w:ascii="宋体" w:hAnsi="宋体" w:cs="宋体" w:eastAsia="宋体" w:hint="default"/>
        </w:rPr>
      </w:r>
    </w:p>
    <w:p>
      <w:pPr>
        <w:pStyle w:val="BodyText"/>
        <w:spacing w:line="213" w:lineRule="exact" w:before="0"/>
        <w:ind w:left="633" w:right="0"/>
        <w:jc w:val="left"/>
      </w:pPr>
      <w:r>
        <w:rPr/>
        <w:t>（1）存货的分类</w:t>
      </w:r>
    </w:p>
    <w:p>
      <w:pPr>
        <w:pStyle w:val="BodyText"/>
        <w:spacing w:line="273" w:lineRule="auto" w:before="37"/>
        <w:ind w:left="213" w:right="0" w:firstLine="420"/>
        <w:jc w:val="left"/>
      </w:pPr>
      <w:r>
        <w:rPr>
          <w:spacing w:val="-2"/>
        </w:rPr>
        <w:t>本公司的存货分为原材料、材料物资、库存商品、受托代销商品、低值易耗品、开发产品、开</w:t>
      </w:r>
      <w:r>
        <w:rPr>
          <w:w w:val="100"/>
        </w:rPr>
        <w:t> </w:t>
      </w:r>
      <w:r>
        <w:rPr/>
        <w:t>发成本等。</w:t>
      </w:r>
    </w:p>
    <w:p>
      <w:pPr>
        <w:pStyle w:val="BodyText"/>
        <w:spacing w:line="273" w:lineRule="auto"/>
        <w:ind w:left="633" w:right="0"/>
        <w:jc w:val="left"/>
      </w:pPr>
      <w:r>
        <w:rPr/>
        <w:t>（2）发出存货的计价方法</w:t>
      </w:r>
      <w:r>
        <w:rPr>
          <w:w w:val="100"/>
        </w:rPr>
        <w:t> </w:t>
      </w:r>
      <w:r>
        <w:rPr>
          <w:spacing w:val="-2"/>
        </w:rPr>
        <w:t>各类存货取得时按实际成本计价。商品流通类企业原材料和库存商品的发出、领用采用先进先</w:t>
      </w:r>
    </w:p>
    <w:p>
      <w:pPr>
        <w:pStyle w:val="BodyText"/>
        <w:spacing w:line="240" w:lineRule="auto"/>
        <w:ind w:left="213" w:right="0"/>
        <w:jc w:val="left"/>
      </w:pPr>
      <w:r>
        <w:rPr/>
        <w:t>出法结转成本；开发产品以实际成本计价，出售时以实际成本结转。</w:t>
      </w:r>
    </w:p>
    <w:p>
      <w:pPr>
        <w:spacing w:after="0" w:line="240" w:lineRule="auto"/>
        <w:jc w:val="left"/>
        <w:sectPr>
          <w:pgSz w:w="11910" w:h="16840"/>
          <w:pgMar w:header="884" w:footer="1219" w:top="1140" w:bottom="1400" w:left="1260" w:right="1180"/>
        </w:sectPr>
      </w:pPr>
    </w:p>
    <w:p>
      <w:pPr>
        <w:pStyle w:val="BodyText"/>
        <w:spacing w:line="273" w:lineRule="auto" w:before="131"/>
        <w:ind w:right="0"/>
        <w:jc w:val="left"/>
      </w:pPr>
      <w:r>
        <w:rPr/>
        <w:t>（3）存货可变现净值的确定依据及存货跌价准备的计提方法</w:t>
      </w:r>
      <w:r>
        <w:rPr>
          <w:w w:val="100"/>
        </w:rPr>
        <w:t> </w:t>
      </w:r>
      <w:r>
        <w:rPr>
          <w:spacing w:val="2"/>
        </w:rPr>
        <w:t>本公司期末对存货进行全面清查后，按存货的成本与可变现净值孰低提取或调整存货跌价准</w:t>
      </w:r>
    </w:p>
    <w:p>
      <w:pPr>
        <w:pStyle w:val="BodyText"/>
        <w:spacing w:line="240" w:lineRule="auto"/>
        <w:ind w:left="153" w:right="0"/>
        <w:jc w:val="both"/>
      </w:pPr>
      <w:r>
        <w:rPr/>
        <w:t>备。</w:t>
      </w:r>
    </w:p>
    <w:p>
      <w:pPr>
        <w:pStyle w:val="BodyText"/>
        <w:spacing w:line="273" w:lineRule="auto" w:before="37"/>
        <w:ind w:left="153" w:right="132" w:firstLine="420"/>
        <w:jc w:val="both"/>
      </w:pPr>
      <w:r>
        <w:rPr>
          <w:spacing w:val="-2"/>
        </w:rPr>
        <w:t>产成品、商品和用于出售的材料等直接用于出售的商品存货，在正常生产经营过程中，以该存</w:t>
      </w:r>
      <w:r>
        <w:rPr>
          <w:w w:val="100"/>
        </w:rPr>
        <w:t> </w:t>
      </w:r>
      <w:r>
        <w:rPr/>
        <w:t>货的估计售价减去估计的销售费用和相关税费后的金额，确定其可变现净值；</w:t>
      </w:r>
    </w:p>
    <w:p>
      <w:pPr>
        <w:pStyle w:val="BodyText"/>
        <w:spacing w:line="273" w:lineRule="auto" w:before="8"/>
        <w:ind w:left="153" w:right="134" w:firstLine="420"/>
        <w:jc w:val="both"/>
      </w:pPr>
      <w:r>
        <w:rPr>
          <w:spacing w:val="-2"/>
        </w:rPr>
        <w:t>需要经过加工的材料存货，在正常生产经营过程中，以所生产的产成品的估计售价减去至完工</w:t>
      </w:r>
      <w:r>
        <w:rPr>
          <w:w w:val="100"/>
        </w:rPr>
        <w:t> </w:t>
      </w:r>
      <w:r>
        <w:rPr/>
        <w:t>时估计将要发生的成本、估计的销售费用和相关税费后的金额，确定其可变现净值；</w:t>
      </w:r>
    </w:p>
    <w:p>
      <w:pPr>
        <w:pStyle w:val="BodyText"/>
        <w:spacing w:line="273" w:lineRule="auto"/>
        <w:ind w:left="153" w:right="130" w:firstLine="420"/>
        <w:jc w:val="both"/>
      </w:pPr>
      <w:r>
        <w:rPr>
          <w:spacing w:val="-2"/>
        </w:rPr>
        <w:t>为执行销售合同或者劳务合同而持有的存货，其可变现净值以合同价格为基础计算，若持有存</w:t>
      </w:r>
      <w:r>
        <w:rPr>
          <w:w w:val="100"/>
        </w:rPr>
        <w:t> </w:t>
      </w:r>
      <w:r>
        <w:rPr/>
        <w:t>货的数量多于销售合同订购数量的，超出部分的存货的可变现净值以一般销售价格为基础计算。</w:t>
      </w:r>
    </w:p>
    <w:p>
      <w:pPr>
        <w:pStyle w:val="BodyText"/>
        <w:spacing w:line="273" w:lineRule="auto" w:before="8"/>
        <w:ind w:right="0"/>
        <w:jc w:val="left"/>
      </w:pPr>
      <w:r>
        <w:rPr/>
        <w:t>期末通常按照单个存货项目计提存货跌价准备；</w:t>
      </w:r>
      <w:r>
        <w:rPr>
          <w:w w:val="100"/>
        </w:rPr>
        <w:t> </w:t>
      </w:r>
      <w:r>
        <w:rPr>
          <w:spacing w:val="-2"/>
        </w:rPr>
        <w:t>对于数量繁多、单价较低的存货，按照存货类别计提存货跌价准备；与在同一地区生产和销售</w:t>
      </w:r>
    </w:p>
    <w:p>
      <w:pPr>
        <w:pStyle w:val="BodyText"/>
        <w:spacing w:line="273" w:lineRule="auto"/>
        <w:ind w:left="153" w:right="132"/>
        <w:jc w:val="both"/>
      </w:pPr>
      <w:r>
        <w:rPr>
          <w:spacing w:val="-2"/>
        </w:rPr>
        <w:t>的产品系列相关、具有相同或类似最终用途或目的，且难以与其他项目分开计量的存货，则合并计</w:t>
      </w:r>
      <w:r>
        <w:rPr>
          <w:spacing w:val="-46"/>
        </w:rPr>
        <w:t> </w:t>
      </w:r>
      <w:r>
        <w:rPr>
          <w:spacing w:val="-46"/>
        </w:rPr>
      </w:r>
      <w:r>
        <w:rPr/>
        <w:t>提存货跌价准备。</w:t>
      </w:r>
    </w:p>
    <w:p>
      <w:pPr>
        <w:pStyle w:val="BodyText"/>
        <w:spacing w:line="273" w:lineRule="auto"/>
        <w:ind w:left="153" w:right="134" w:firstLine="420"/>
        <w:jc w:val="both"/>
      </w:pPr>
      <w:r>
        <w:rPr>
          <w:spacing w:val="-2"/>
        </w:rPr>
        <w:t>以前减记存货价值的影响因素已经消失的，减记的金额予以恢复，并在原已计提的存货跌价准</w:t>
      </w:r>
      <w:r>
        <w:rPr>
          <w:w w:val="100"/>
        </w:rPr>
        <w:t> </w:t>
      </w:r>
      <w:r>
        <w:rPr/>
        <w:t>备金额内转回，转回的金额计入当期损益。</w:t>
      </w:r>
    </w:p>
    <w:p>
      <w:pPr>
        <w:pStyle w:val="BodyText"/>
        <w:spacing w:line="273" w:lineRule="auto"/>
        <w:ind w:right="4357"/>
        <w:jc w:val="left"/>
      </w:pPr>
      <w:r>
        <w:rPr/>
        <w:t>（4）存货的盘存制度</w:t>
      </w:r>
      <w:r>
        <w:rPr>
          <w:w w:val="100"/>
        </w:rPr>
        <w:t> </w:t>
      </w:r>
      <w:r>
        <w:rPr>
          <w:spacing w:val="-2"/>
        </w:rPr>
        <w:t>存货盘存制度采用永续盘存制。</w:t>
      </w:r>
    </w:p>
    <w:p>
      <w:pPr>
        <w:pStyle w:val="BodyText"/>
        <w:spacing w:line="273" w:lineRule="auto"/>
        <w:ind w:right="2071"/>
        <w:jc w:val="left"/>
      </w:pPr>
      <w:r>
        <w:rPr/>
        <w:t>（5）低值易耗品和包装物的摊销方法</w:t>
      </w:r>
      <w:r>
        <w:rPr>
          <w:w w:val="100"/>
        </w:rPr>
        <w:t> </w:t>
      </w:r>
      <w:r>
        <w:rPr>
          <w:spacing w:val="-2"/>
        </w:rPr>
        <w:t>低值易耗品和包装物领用时一次摊销法摊销。</w:t>
      </w:r>
    </w:p>
    <w:p>
      <w:pPr>
        <w:pStyle w:val="BodyText"/>
        <w:spacing w:line="259" w:lineRule="auto" w:before="77"/>
        <w:ind w:right="0" w:firstLine="2"/>
        <w:jc w:val="left"/>
      </w:pPr>
      <w:r>
        <w:rPr>
          <w:rFonts w:ascii="宋体" w:hAnsi="宋体" w:cs="宋体" w:eastAsia="宋体" w:hint="default"/>
          <w:b/>
          <w:bCs/>
        </w:rPr>
        <w:t>11、长期股权投资</w:t>
      </w:r>
      <w:r>
        <w:rPr>
          <w:rFonts w:ascii="宋体" w:hAnsi="宋体" w:cs="宋体" w:eastAsia="宋体" w:hint="default"/>
          <w:b/>
          <w:bCs/>
          <w:w w:val="100"/>
        </w:rPr>
        <w:t> </w:t>
      </w:r>
      <w:r>
        <w:rPr>
          <w:spacing w:val="-2"/>
        </w:rPr>
        <w:t>本部分所指的长期股权投资是指本公司对被投资单位具有控制、共同控制或重大影响的长期股</w:t>
      </w:r>
    </w:p>
    <w:p>
      <w:pPr>
        <w:pStyle w:val="BodyText"/>
        <w:spacing w:line="273" w:lineRule="auto" w:before="20"/>
        <w:ind w:left="153" w:right="133"/>
        <w:jc w:val="both"/>
      </w:pPr>
      <w:r>
        <w:rPr>
          <w:spacing w:val="-2"/>
        </w:rPr>
        <w:t>权投资。本公司对被投资单位不具有控制、共同控制或重大影响的长期股权投资，作为可供出售金</w:t>
      </w:r>
      <w:r>
        <w:rPr>
          <w:spacing w:val="-46"/>
        </w:rPr>
        <w:t> </w:t>
      </w:r>
      <w:r>
        <w:rPr>
          <w:spacing w:val="-46"/>
        </w:rPr>
      </w:r>
      <w:r>
        <w:rPr/>
        <w:t>融资产或以公允价值计量且其变动计入当期损益的金融资产核算，其会计政策详见金融工具。</w:t>
      </w:r>
    </w:p>
    <w:p>
      <w:pPr>
        <w:pStyle w:val="BodyText"/>
        <w:spacing w:line="273" w:lineRule="auto"/>
        <w:ind w:left="153" w:right="134" w:firstLine="420"/>
        <w:jc w:val="both"/>
      </w:pPr>
      <w:r>
        <w:rPr>
          <w:spacing w:val="-2"/>
        </w:rPr>
        <w:t>共同控制，是指本公司按照相关约定对某项安排所共有的控制，并且该安排的相关活动必须经</w:t>
      </w:r>
      <w:r>
        <w:rPr>
          <w:w w:val="100"/>
        </w:rPr>
        <w:t> </w:t>
      </w:r>
      <w:r>
        <w:rPr>
          <w:spacing w:val="-2"/>
        </w:rPr>
        <w:t>过分享控制权的参与方一致同意后才能决策。重大影响，是指本公司对被投资单位的财务和经营政</w:t>
      </w:r>
      <w:r>
        <w:rPr>
          <w:spacing w:val="-47"/>
        </w:rPr>
        <w:t> </w:t>
      </w:r>
      <w:r>
        <w:rPr>
          <w:spacing w:val="-47"/>
        </w:rPr>
      </w:r>
      <w:r>
        <w:rPr/>
        <w:t>策有参与决策的权力，但并不能够控制或者与其他方一起共同控制这些政策的制定。</w:t>
      </w:r>
    </w:p>
    <w:p>
      <w:pPr>
        <w:pStyle w:val="BodyText"/>
        <w:spacing w:line="273" w:lineRule="auto" w:before="8"/>
        <w:ind w:right="0"/>
        <w:jc w:val="left"/>
      </w:pPr>
      <w:r>
        <w:rPr/>
        <w:t>（1）投资成本的确定</w:t>
      </w:r>
      <w:r>
        <w:rPr>
          <w:w w:val="100"/>
        </w:rPr>
        <w:t> </w:t>
      </w:r>
      <w:r>
        <w:rPr>
          <w:spacing w:val="-2"/>
        </w:rPr>
        <w:t>对于同一控制下的企业合并取得的长期股权投资，在合并日按照被合并方所有者权益在最终控</w:t>
      </w:r>
    </w:p>
    <w:p>
      <w:pPr>
        <w:pStyle w:val="BodyText"/>
        <w:spacing w:line="273" w:lineRule="auto"/>
        <w:ind w:left="153" w:right="113"/>
        <w:jc w:val="both"/>
      </w:pPr>
      <w:r>
        <w:rPr>
          <w:spacing w:val="-2"/>
        </w:rPr>
        <w:t>制方合并财务报表中的账面价值的份额作为长期股权投资的初始投资成本。长期股权投资初始投资</w:t>
      </w:r>
      <w:r>
        <w:rPr>
          <w:spacing w:val="-42"/>
        </w:rPr>
        <w:t> </w:t>
      </w:r>
      <w:r>
        <w:rPr>
          <w:spacing w:val="-42"/>
        </w:rPr>
      </w:r>
      <w:r>
        <w:rPr>
          <w:spacing w:val="-2"/>
        </w:rPr>
        <w:t>成本与支付的现金、转让的非现金资产以及所承担债务账面价值之间的差额，调整资本公积；资本</w:t>
      </w:r>
      <w:r>
        <w:rPr>
          <w:spacing w:val="-43"/>
        </w:rPr>
        <w:t> </w:t>
      </w:r>
      <w:r>
        <w:rPr>
          <w:spacing w:val="-43"/>
        </w:rPr>
      </w:r>
      <w:r>
        <w:rPr>
          <w:spacing w:val="-2"/>
        </w:rPr>
        <w:t>公积不足冲减的，调整留存收益。以发行权益性证券作为合并对价的，在合并日按照被合并方股东</w:t>
      </w:r>
      <w:r>
        <w:rPr>
          <w:spacing w:val="-49"/>
        </w:rPr>
        <w:t> </w:t>
      </w:r>
      <w:r>
        <w:rPr>
          <w:spacing w:val="-49"/>
        </w:rPr>
      </w:r>
      <w:r>
        <w:rPr/>
        <w:t>权益/所有者权益在最终控制方合并财务报表中的账面价值的份额作为长期股权投资的初始投资成</w:t>
      </w:r>
      <w:r>
        <w:rPr>
          <w:spacing w:val="-21"/>
        </w:rPr>
        <w:t> </w:t>
      </w:r>
      <w:r>
        <w:rPr>
          <w:spacing w:val="-21"/>
        </w:rPr>
      </w:r>
      <w:r>
        <w:rPr>
          <w:spacing w:val="-2"/>
        </w:rPr>
        <w:t>本，按照发行股份的面值总额作为股本，长期股权投资初始投资成本与所发行股份面值总额之间的</w:t>
      </w:r>
      <w:r>
        <w:rPr>
          <w:spacing w:val="-46"/>
        </w:rPr>
        <w:t> </w:t>
      </w:r>
      <w:r>
        <w:rPr>
          <w:spacing w:val="-46"/>
        </w:rPr>
      </w:r>
      <w:r>
        <w:rPr>
          <w:spacing w:val="-2"/>
        </w:rPr>
        <w:t>差额，调整资本公积；资本公积不足冲减的，调整留存收益（通过多次交易分步取得同一控制下被</w:t>
      </w:r>
      <w:r>
        <w:rPr>
          <w:spacing w:val="-46"/>
        </w:rPr>
        <w:t> </w:t>
      </w:r>
      <w:r>
        <w:rPr>
          <w:spacing w:val="-46"/>
        </w:rPr>
      </w:r>
      <w:r>
        <w:rPr>
          <w:spacing w:val="-2"/>
        </w:rPr>
        <w:t>合并方的股权，最终形成同一控制下企业合并的，应分别是否属于“一揽子交易”进行处理：属于</w:t>
      </w:r>
      <w:r>
        <w:rPr>
          <w:spacing w:val="-50"/>
        </w:rPr>
        <w:t> </w:t>
      </w:r>
      <w:r>
        <w:rPr>
          <w:spacing w:val="-50"/>
        </w:rPr>
      </w:r>
      <w:r>
        <w:rPr>
          <w:spacing w:val="-2"/>
        </w:rPr>
        <w:t>“一揽子交易”的，将各项交易作为一项取得控制权的交易进行会计处理。不属于“一揽子交易”</w:t>
      </w:r>
      <w:r>
        <w:rPr>
          <w:spacing w:val="-25"/>
        </w:rPr>
        <w:t> </w:t>
      </w:r>
      <w:r>
        <w:rPr>
          <w:spacing w:val="-25"/>
        </w:rPr>
      </w:r>
      <w:r>
        <w:rPr/>
        <w:t>的，在合并日按照应享有被合并方股东权益/所有者权益在最终控制方合并财务报表中的账面价值</w:t>
      </w:r>
      <w:r>
        <w:rPr>
          <w:spacing w:val="-21"/>
        </w:rPr>
        <w:t> </w:t>
      </w:r>
      <w:r>
        <w:rPr>
          <w:spacing w:val="-21"/>
        </w:rPr>
      </w:r>
      <w:r>
        <w:rPr>
          <w:spacing w:val="-2"/>
        </w:rPr>
        <w:t>的份额作为长期股权投资的初始投资成本，长期股权投资初始投资成本与达到合并前的长期股权投</w:t>
      </w:r>
      <w:r>
        <w:rPr>
          <w:spacing w:val="-42"/>
        </w:rPr>
        <w:t> </w:t>
      </w:r>
      <w:r>
        <w:rPr>
          <w:spacing w:val="-42"/>
        </w:rPr>
      </w:r>
      <w:r>
        <w:rPr>
          <w:spacing w:val="-2"/>
        </w:rPr>
        <w:t>资账面价值加上合并日进一步取得股份新支付对价的账面价值之和的差额，调整资本公积；资本公</w:t>
      </w:r>
      <w:r>
        <w:rPr>
          <w:spacing w:val="-43"/>
        </w:rPr>
        <w:t> </w:t>
      </w:r>
      <w:r>
        <w:rPr>
          <w:spacing w:val="-43"/>
        </w:rPr>
      </w:r>
      <w:r>
        <w:rPr>
          <w:spacing w:val="-2"/>
        </w:rPr>
        <w:t>积不足冲减的，调整留存收益。合并日之前持有的股权投资因采用权益法核算或为可供出售金融资</w:t>
      </w:r>
      <w:r>
        <w:rPr>
          <w:spacing w:val="-47"/>
        </w:rPr>
        <w:t> </w:t>
      </w:r>
      <w:r>
        <w:rPr>
          <w:spacing w:val="-47"/>
        </w:rPr>
      </w:r>
      <w:r>
        <w:rPr>
          <w:spacing w:val="-6"/>
          <w:w w:val="100"/>
        </w:rPr>
        <w:t>产而确认的其他综合收益，暂不进行会计处理）。</w:t>
      </w:r>
    </w:p>
    <w:p>
      <w:pPr>
        <w:pStyle w:val="BodyText"/>
        <w:spacing w:line="273" w:lineRule="auto"/>
        <w:ind w:left="153" w:right="130" w:firstLine="420"/>
        <w:jc w:val="both"/>
      </w:pPr>
      <w:r>
        <w:rPr>
          <w:spacing w:val="-2"/>
        </w:rPr>
        <w:t>对于非同一控制下的企业合并取得的长期股权投资，在购买日按照合并成本作为长期股权投资</w:t>
      </w:r>
      <w:r>
        <w:rPr>
          <w:w w:val="100"/>
        </w:rPr>
        <w:t> </w:t>
      </w:r>
      <w:r>
        <w:rPr>
          <w:spacing w:val="-2"/>
        </w:rPr>
        <w:t>的初始投资成本，合并成本包括购买方付出的资产、发生或承担的负债、发行的权益性证券的公允</w:t>
      </w:r>
      <w:r>
        <w:rPr>
          <w:spacing w:val="-46"/>
        </w:rPr>
        <w:t> </w:t>
      </w:r>
      <w:r>
        <w:rPr>
          <w:spacing w:val="-46"/>
        </w:rPr>
      </w:r>
      <w:r>
        <w:rPr>
          <w:spacing w:val="-2"/>
        </w:rPr>
        <w:t>价值之和（通过多次交易分步取得被购买方的股权，最终形成非同一控制下的企业合并的，应分别</w:t>
      </w:r>
      <w:r>
        <w:rPr>
          <w:spacing w:val="-46"/>
        </w:rPr>
        <w:t> </w:t>
      </w:r>
      <w:r>
        <w:rPr>
          <w:spacing w:val="-46"/>
        </w:rPr>
      </w:r>
      <w:r>
        <w:rPr>
          <w:spacing w:val="-2"/>
        </w:rPr>
        <w:t>是否属于“一揽子交易”进行处理：属于“一揽子交易”的，将各项交易作为一项取得控制权的交</w:t>
      </w:r>
    </w:p>
    <w:p>
      <w:pPr>
        <w:spacing w:after="0" w:line="273" w:lineRule="auto"/>
        <w:jc w:val="both"/>
        <w:sectPr>
          <w:pgSz w:w="11910" w:h="16840"/>
          <w:pgMar w:header="884" w:footer="1219" w:top="1140" w:bottom="1400" w:left="1320" w:right="1280"/>
        </w:sectPr>
      </w:pPr>
    </w:p>
    <w:p>
      <w:pPr>
        <w:pStyle w:val="BodyText"/>
        <w:spacing w:line="273" w:lineRule="auto" w:before="131"/>
        <w:ind w:left="153" w:right="210"/>
        <w:jc w:val="both"/>
      </w:pPr>
      <w:r>
        <w:rPr>
          <w:spacing w:val="-2"/>
        </w:rPr>
        <w:t>易进行会计处理。不属于“一揽子交易”的，按照原持有被购买方的股权投资账面价值加上新增投</w:t>
      </w:r>
      <w:r>
        <w:rPr>
          <w:spacing w:val="-42"/>
        </w:rPr>
        <w:t> </w:t>
      </w:r>
      <w:r>
        <w:rPr>
          <w:spacing w:val="-42"/>
        </w:rPr>
      </w:r>
      <w:r>
        <w:rPr>
          <w:spacing w:val="-2"/>
        </w:rPr>
        <w:t>资成本之和，作为改按成本法核算的长期股权投资的初始投资成本。原持有的股权采用权益法核算</w:t>
      </w:r>
      <w:r>
        <w:rPr>
          <w:spacing w:val="-45"/>
        </w:rPr>
        <w:t> </w:t>
      </w:r>
      <w:r>
        <w:rPr>
          <w:spacing w:val="-45"/>
        </w:rPr>
      </w:r>
      <w:r>
        <w:rPr>
          <w:spacing w:val="-2"/>
        </w:rPr>
        <w:t>的，相关其他综合收益暂不进行会计处理。原持有股权投资为可供出售金融资产的，其公允价值与</w:t>
      </w:r>
      <w:r>
        <w:rPr>
          <w:spacing w:val="-46"/>
        </w:rPr>
        <w:t> </w:t>
      </w:r>
      <w:r>
        <w:rPr>
          <w:spacing w:val="-46"/>
        </w:rPr>
      </w:r>
      <w:r>
        <w:rPr>
          <w:spacing w:val="-5"/>
          <w:w w:val="100"/>
        </w:rPr>
        <w:t>账面价值之间的差额，以及原计入其他综合收益的累计公允价值变动转入当期损益）。</w:t>
      </w:r>
    </w:p>
    <w:p>
      <w:pPr>
        <w:pStyle w:val="BodyText"/>
        <w:spacing w:line="273" w:lineRule="auto"/>
        <w:ind w:left="153" w:right="214" w:firstLine="420"/>
        <w:jc w:val="both"/>
      </w:pPr>
      <w:r>
        <w:rPr>
          <w:spacing w:val="-2"/>
        </w:rPr>
        <w:t>合并方或购买方为企业合并发生的审计、法律服务、评估咨询等中介费用以及其他相关管理费</w:t>
      </w:r>
      <w:r>
        <w:rPr>
          <w:w w:val="100"/>
        </w:rPr>
        <w:t> </w:t>
      </w:r>
      <w:r>
        <w:rPr/>
        <w:t>用，于发生时计入当期损益。</w:t>
      </w:r>
    </w:p>
    <w:p>
      <w:pPr>
        <w:pStyle w:val="BodyText"/>
        <w:spacing w:line="273" w:lineRule="auto"/>
        <w:ind w:left="153" w:right="193" w:firstLine="420"/>
        <w:jc w:val="both"/>
      </w:pPr>
      <w:r>
        <w:rPr>
          <w:spacing w:val="-2"/>
        </w:rPr>
        <w:t>除企业合并形成的长期股权投资外的其他股权投资，按成本进行初始计量，该成本视长期股权</w:t>
      </w:r>
      <w:r>
        <w:rPr>
          <w:w w:val="100"/>
        </w:rPr>
        <w:t> </w:t>
      </w:r>
      <w:r>
        <w:rPr>
          <w:spacing w:val="-2"/>
        </w:rPr>
        <w:t>投资取得方式的不同，分别按照本公司实际支付的现金购买价款、本公司发行的权益性证券的公允</w:t>
      </w:r>
      <w:r>
        <w:rPr>
          <w:spacing w:val="-46"/>
        </w:rPr>
        <w:t> </w:t>
      </w:r>
      <w:r>
        <w:rPr>
          <w:spacing w:val="-46"/>
        </w:rPr>
      </w:r>
      <w:r>
        <w:rPr>
          <w:spacing w:val="-2"/>
        </w:rPr>
        <w:t>价值、投资合同或协议约定的价值、非货币性资产交换交易中换出资产的公允价值或原账面价值、</w:t>
      </w:r>
      <w:r>
        <w:rPr>
          <w:spacing w:val="-25"/>
        </w:rPr>
        <w:t> </w:t>
      </w:r>
      <w:r>
        <w:rPr>
          <w:spacing w:val="-25"/>
        </w:rPr>
      </w:r>
      <w:r>
        <w:rPr>
          <w:spacing w:val="-2"/>
        </w:rPr>
        <w:t>该项长期股权投资自身的公允价值等方式确定。与取得长期股权投资直接相关的费用、税金及其他</w:t>
      </w:r>
      <w:r>
        <w:rPr>
          <w:spacing w:val="-43"/>
        </w:rPr>
        <w:t> </w:t>
      </w:r>
      <w:r>
        <w:rPr>
          <w:spacing w:val="-43"/>
        </w:rPr>
      </w:r>
      <w:r>
        <w:rPr>
          <w:spacing w:val="-2"/>
        </w:rPr>
        <w:t>必要支出也计入投资成本。对于因追加投资能够对被投资单位实施重大影响或实施共同控制但不构</w:t>
      </w:r>
      <w:r>
        <w:rPr>
          <w:spacing w:val="-42"/>
        </w:rPr>
        <w:t> </w:t>
      </w:r>
      <w:r>
        <w:rPr>
          <w:spacing w:val="-42"/>
        </w:rPr>
      </w:r>
      <w:r>
        <w:rPr/>
        <w:t>成控制的，长期股权投资成本为按照《企业会计准则第 22</w:t>
      </w:r>
      <w:r>
        <w:rPr>
          <w:spacing w:val="-22"/>
        </w:rPr>
        <w:t> </w:t>
      </w:r>
      <w:r>
        <w:rPr/>
        <w:t>号——金融工具确认和计量》确定的原</w:t>
      </w:r>
      <w:r>
        <w:rPr>
          <w:w w:val="100"/>
        </w:rPr>
        <w:t> </w:t>
      </w:r>
      <w:r>
        <w:rPr/>
        <w:t>持有股权投资的公允价值加上新增投资成本之和。</w:t>
      </w:r>
    </w:p>
    <w:p>
      <w:pPr>
        <w:pStyle w:val="BodyText"/>
        <w:spacing w:line="273" w:lineRule="auto"/>
        <w:ind w:right="46"/>
        <w:jc w:val="left"/>
      </w:pPr>
      <w:r>
        <w:rPr/>
        <w:t>（2）后续计量及损益确认方法</w:t>
      </w:r>
      <w:r>
        <w:rPr>
          <w:w w:val="100"/>
        </w:rPr>
        <w:t> </w:t>
      </w:r>
      <w:r>
        <w:rPr>
          <w:spacing w:val="-2"/>
        </w:rPr>
        <w:t>对被投资单位具有共同控制（构成共同经营者除外）或重大影响的长期股权投资，采用权益法</w:t>
      </w:r>
    </w:p>
    <w:p>
      <w:pPr>
        <w:pStyle w:val="BodyText"/>
        <w:spacing w:line="240" w:lineRule="auto"/>
        <w:ind w:left="153" w:right="0"/>
        <w:jc w:val="both"/>
      </w:pPr>
      <w:r>
        <w:rPr/>
        <w:t>核算。此外，公司财务报表采用成本法核算能够对被投资单位实施控制的长期股权投资。</w:t>
      </w:r>
    </w:p>
    <w:p>
      <w:pPr>
        <w:pStyle w:val="BodyText"/>
        <w:spacing w:line="273" w:lineRule="auto" w:before="37"/>
        <w:ind w:right="46"/>
        <w:jc w:val="left"/>
      </w:pPr>
      <w:r>
        <w:rPr/>
        <w:t>①成本法核算的长期股权投资</w:t>
      </w:r>
      <w:r>
        <w:rPr>
          <w:w w:val="100"/>
        </w:rPr>
        <w:t> </w:t>
      </w:r>
      <w:r>
        <w:rPr>
          <w:spacing w:val="-2"/>
        </w:rPr>
        <w:t>采用成本法核算时，长期股权投资按初始投资成本计价，追加或收回投资调整长期股权投资的</w:t>
      </w:r>
    </w:p>
    <w:p>
      <w:pPr>
        <w:pStyle w:val="BodyText"/>
        <w:spacing w:line="273" w:lineRule="auto"/>
        <w:ind w:left="153" w:right="193"/>
        <w:jc w:val="both"/>
      </w:pPr>
      <w:r>
        <w:rPr>
          <w:spacing w:val="-2"/>
        </w:rPr>
        <w:t>成本。除取得投资时实际支付的价款或者对价中包含的已宣告但尚未发放的现金股利或者利润外，</w:t>
      </w:r>
      <w:r>
        <w:rPr>
          <w:spacing w:val="-25"/>
        </w:rPr>
        <w:t> </w:t>
      </w:r>
      <w:r>
        <w:rPr>
          <w:spacing w:val="-25"/>
        </w:rPr>
      </w:r>
      <w:r>
        <w:rPr/>
        <w:t>当期投资收益按照享有被投资单位宣告发放的现金股利或利润确认。</w:t>
      </w:r>
    </w:p>
    <w:p>
      <w:pPr>
        <w:pStyle w:val="BodyText"/>
        <w:spacing w:line="273" w:lineRule="auto" w:before="8"/>
        <w:ind w:right="46"/>
        <w:jc w:val="left"/>
      </w:pPr>
      <w:r>
        <w:rPr/>
        <w:t>②权益法核算的长期股权投资</w:t>
      </w:r>
      <w:r>
        <w:rPr>
          <w:w w:val="100"/>
        </w:rPr>
        <w:t> </w:t>
      </w:r>
      <w:r>
        <w:rPr>
          <w:spacing w:val="-2"/>
        </w:rPr>
        <w:t>采用权益法核算时，长期股权投资的初始投资成本大于投资时应享有被投资单位可辨认净资产</w:t>
      </w:r>
    </w:p>
    <w:p>
      <w:pPr>
        <w:pStyle w:val="BodyText"/>
        <w:spacing w:line="273" w:lineRule="auto"/>
        <w:ind w:left="153" w:right="214"/>
        <w:jc w:val="both"/>
      </w:pPr>
      <w:r>
        <w:rPr>
          <w:spacing w:val="-2"/>
        </w:rPr>
        <w:t>公允价值份额的，不调整长期股权投资的初始投资成本；初始投资成本小于投资时应享有被投资单</w:t>
      </w:r>
      <w:r>
        <w:rPr>
          <w:spacing w:val="-46"/>
        </w:rPr>
        <w:t> </w:t>
      </w:r>
      <w:r>
        <w:rPr>
          <w:spacing w:val="-46"/>
        </w:rPr>
      </w:r>
      <w:r>
        <w:rPr/>
        <w:t>位可辨认净资产公允价值份额的，其差额计入当期损益，同时调整长期股权投资的成本。</w:t>
      </w:r>
    </w:p>
    <w:p>
      <w:pPr>
        <w:pStyle w:val="BodyText"/>
        <w:spacing w:line="273" w:lineRule="auto"/>
        <w:ind w:left="153" w:right="193" w:firstLine="420"/>
        <w:jc w:val="both"/>
      </w:pPr>
      <w:r>
        <w:rPr>
          <w:spacing w:val="-2"/>
        </w:rPr>
        <w:t>采用权益法核算时，按照应享有或应分担的被投资单位实现的净损益和其他综合收益的份额，</w:t>
      </w:r>
      <w:r>
        <w:rPr>
          <w:w w:val="100"/>
        </w:rPr>
        <w:t> </w:t>
      </w:r>
      <w:r>
        <w:rPr>
          <w:spacing w:val="-2"/>
        </w:rPr>
        <w:t>分别确认投资收益和其他综合收益，同时调整长期股权投资的账面价值；按照被投资单位宣告分派</w:t>
      </w:r>
      <w:r>
        <w:rPr>
          <w:spacing w:val="-46"/>
        </w:rPr>
        <w:t> </w:t>
      </w:r>
      <w:r>
        <w:rPr>
          <w:spacing w:val="-46"/>
        </w:rPr>
      </w:r>
      <w:r>
        <w:rPr>
          <w:spacing w:val="-2"/>
        </w:rPr>
        <w:t>的利润或现金股利计算应享有的部分，相应减少长期股权投资的账面价值；对于被投资单位除净损</w:t>
      </w:r>
      <w:r>
        <w:rPr>
          <w:spacing w:val="-45"/>
        </w:rPr>
        <w:t> </w:t>
      </w:r>
      <w:r>
        <w:rPr>
          <w:spacing w:val="-45"/>
        </w:rPr>
      </w:r>
      <w:r>
        <w:rPr>
          <w:spacing w:val="-2"/>
        </w:rPr>
        <w:t>益、其他综合收益和利润分配以外所有者权益的其他变动，调整长期股权投资的账面价值并计入资</w:t>
      </w:r>
      <w:r>
        <w:rPr>
          <w:spacing w:val="-45"/>
        </w:rPr>
        <w:t> </w:t>
      </w:r>
      <w:r>
        <w:rPr>
          <w:spacing w:val="-45"/>
        </w:rPr>
      </w:r>
      <w:r>
        <w:rPr>
          <w:spacing w:val="-2"/>
        </w:rPr>
        <w:t>本公积。在确认应享有被投资单位净损益的份额时，以取得投资时被投资单位各项可辨认资产等的</w:t>
      </w:r>
      <w:r>
        <w:rPr>
          <w:spacing w:val="-46"/>
        </w:rPr>
        <w:t> </w:t>
      </w:r>
      <w:r>
        <w:rPr>
          <w:spacing w:val="-46"/>
        </w:rPr>
      </w:r>
      <w:r>
        <w:rPr>
          <w:spacing w:val="-2"/>
        </w:rPr>
        <w:t>公允价值为基础，对被投资单位的净利润进行调整后确认。被投资单位采用的会计政策及会计期间</w:t>
      </w:r>
      <w:r>
        <w:rPr>
          <w:spacing w:val="-45"/>
        </w:rPr>
        <w:t> </w:t>
      </w:r>
      <w:r>
        <w:rPr>
          <w:spacing w:val="-45"/>
        </w:rPr>
      </w:r>
      <w:r>
        <w:rPr>
          <w:spacing w:val="-2"/>
        </w:rPr>
        <w:t>与本公司不一致的，按照本公司的会计政策及会计期间对被投资单位的财务报表进行调整，并据以</w:t>
      </w:r>
      <w:r>
        <w:rPr>
          <w:spacing w:val="-44"/>
        </w:rPr>
        <w:t> </w:t>
      </w:r>
      <w:r>
        <w:rPr>
          <w:spacing w:val="-44"/>
        </w:rPr>
      </w:r>
      <w:r>
        <w:rPr>
          <w:spacing w:val="-2"/>
        </w:rPr>
        <w:t>确认投资收益和其他综合收益。对于本公司与联营企业及合营企业之间发生的交易，投出或出售的</w:t>
      </w:r>
      <w:r>
        <w:rPr>
          <w:spacing w:val="-43"/>
        </w:rPr>
        <w:t> </w:t>
      </w:r>
      <w:r>
        <w:rPr>
          <w:spacing w:val="-43"/>
        </w:rPr>
      </w:r>
      <w:r>
        <w:rPr>
          <w:spacing w:val="-2"/>
        </w:rPr>
        <w:t>资产不构成业务的，未实现内部交易损益按照享有的比例计算归属于本公司的部分予以抵销，在此</w:t>
      </w:r>
      <w:r>
        <w:rPr>
          <w:spacing w:val="-43"/>
        </w:rPr>
        <w:t> </w:t>
      </w:r>
      <w:r>
        <w:rPr>
          <w:spacing w:val="-43"/>
        </w:rPr>
      </w:r>
      <w:r>
        <w:rPr>
          <w:spacing w:val="-2"/>
        </w:rPr>
        <w:t>基础上确认投资损益。但本公司与被投资单位发生的未实现内部交易损失，属于所转让资产减值损</w:t>
      </w:r>
      <w:r>
        <w:rPr>
          <w:spacing w:val="-45"/>
        </w:rPr>
        <w:t> </w:t>
      </w:r>
      <w:r>
        <w:rPr>
          <w:spacing w:val="-45"/>
        </w:rPr>
      </w:r>
      <w:r>
        <w:rPr>
          <w:spacing w:val="-2"/>
        </w:rPr>
        <w:t>失的，不予以抵销。本公司向合营企业或联营企业投出的资产构成业务的，投资方因此取得长期股</w:t>
      </w:r>
      <w:r>
        <w:rPr>
          <w:spacing w:val="-46"/>
        </w:rPr>
        <w:t> </w:t>
      </w:r>
      <w:r>
        <w:rPr>
          <w:spacing w:val="-46"/>
        </w:rPr>
      </w:r>
      <w:r>
        <w:rPr>
          <w:spacing w:val="-2"/>
        </w:rPr>
        <w:t>权投资但未取得控制权的，以投出业务的公允价值作为新增长期股权投资的初始投资成本，初始投</w:t>
      </w:r>
      <w:r>
        <w:rPr>
          <w:spacing w:val="-44"/>
        </w:rPr>
        <w:t> </w:t>
      </w:r>
      <w:r>
        <w:rPr>
          <w:spacing w:val="-44"/>
        </w:rPr>
      </w:r>
      <w:r>
        <w:rPr>
          <w:spacing w:val="-2"/>
        </w:rPr>
        <w:t>资成本与投出业务的账面价值之差，全额计入当期损益。本公司向合营企业或联营企业出售的资产</w:t>
      </w:r>
      <w:r>
        <w:rPr>
          <w:spacing w:val="-47"/>
        </w:rPr>
        <w:t> </w:t>
      </w:r>
      <w:r>
        <w:rPr>
          <w:spacing w:val="-47"/>
        </w:rPr>
      </w:r>
      <w:r>
        <w:rPr>
          <w:spacing w:val="-2"/>
        </w:rPr>
        <w:t>构成业务的，取得的对价与业务的账面价值之差，全额计入当期损益。本公司自联营企业及合营企</w:t>
      </w:r>
      <w:r>
        <w:rPr>
          <w:spacing w:val="-49"/>
        </w:rPr>
        <w:t> </w:t>
      </w:r>
      <w:r>
        <w:rPr>
          <w:spacing w:val="-49"/>
        </w:rPr>
      </w:r>
      <w:r>
        <w:rPr/>
        <w:t>业购入的资产构成业务的，按《企业会计准则第 20</w:t>
      </w:r>
      <w:r>
        <w:rPr>
          <w:spacing w:val="-26"/>
        </w:rPr>
        <w:t> </w:t>
      </w:r>
      <w:r>
        <w:rPr/>
        <w:t>号——企业合并》的规定进行会计处理，全额</w:t>
      </w:r>
      <w:r>
        <w:rPr>
          <w:w w:val="100"/>
        </w:rPr>
        <w:t> </w:t>
      </w:r>
      <w:r>
        <w:rPr/>
        <w:t>确认与交易相关的利得或损失。</w:t>
      </w:r>
    </w:p>
    <w:p>
      <w:pPr>
        <w:pStyle w:val="BodyText"/>
        <w:spacing w:line="273" w:lineRule="auto"/>
        <w:ind w:left="153" w:right="46" w:firstLine="420"/>
        <w:jc w:val="left"/>
      </w:pPr>
      <w:r>
        <w:rPr/>
        <w:t>在确认应分担被投资单位发生的净亏损时，以长期股权投资的账面价值和其他实质上构成对被</w:t>
      </w:r>
      <w:r>
        <w:rPr>
          <w:w w:val="100"/>
        </w:rPr>
        <w:t> </w:t>
      </w:r>
      <w:r>
        <w:rPr>
          <w:spacing w:val="-5"/>
        </w:rPr>
        <w:t>投资单位净投资的长期权益减记至零为限。此外，如本公司对被投资单位负有承担额外损失的义务，</w:t>
      </w:r>
      <w:r>
        <w:rPr>
          <w:spacing w:val="-12"/>
        </w:rPr>
        <w:t> </w:t>
      </w:r>
      <w:r>
        <w:rPr>
          <w:spacing w:val="-12"/>
        </w:rPr>
      </w:r>
      <w:r>
        <w:rPr/>
        <w:t>则按预计承担的义务确认预计负债，计入当期投资损失。被投资单位以后期间实现净利润的，本公</w:t>
      </w:r>
      <w:r>
        <w:rPr>
          <w:w w:val="100"/>
        </w:rPr>
        <w:t> </w:t>
      </w:r>
      <w:r>
        <w:rPr/>
        <w:t>司在收益分享额弥补未确认的亏损分担额后，恢复确认收益分享额。</w:t>
      </w:r>
    </w:p>
    <w:p>
      <w:pPr>
        <w:pStyle w:val="BodyText"/>
        <w:spacing w:line="240" w:lineRule="auto"/>
        <w:ind w:right="46"/>
        <w:jc w:val="left"/>
      </w:pPr>
      <w:r>
        <w:rPr/>
        <w:t>③收购少数股权</w:t>
      </w:r>
    </w:p>
    <w:p>
      <w:pPr>
        <w:spacing w:after="0" w:line="240" w:lineRule="auto"/>
        <w:jc w:val="left"/>
        <w:sectPr>
          <w:pgSz w:w="11910" w:h="16840"/>
          <w:pgMar w:header="884" w:footer="1219" w:top="1140" w:bottom="1400" w:left="1320" w:right="1200"/>
        </w:sectPr>
      </w:pPr>
    </w:p>
    <w:p>
      <w:pPr>
        <w:pStyle w:val="BodyText"/>
        <w:spacing w:line="273" w:lineRule="auto" w:before="131"/>
        <w:ind w:left="153" w:right="130" w:firstLine="420"/>
        <w:jc w:val="both"/>
      </w:pPr>
      <w:r>
        <w:rPr>
          <w:spacing w:val="-2"/>
        </w:rPr>
        <w:t>在编制合并财务报表时，因购买少数股权新增的长期股权投资与按照新增持股比例计算应享有</w:t>
      </w:r>
      <w:r>
        <w:rPr>
          <w:w w:val="100"/>
        </w:rPr>
        <w:t> </w:t>
      </w:r>
      <w:r>
        <w:rPr>
          <w:spacing w:val="-2"/>
        </w:rPr>
        <w:t>子公司自购买日（或合并日）开始持续计算的净资产份额之间的差额，调整资本公积，资本公积不</w:t>
      </w:r>
      <w:r>
        <w:rPr>
          <w:spacing w:val="-47"/>
        </w:rPr>
        <w:t> </w:t>
      </w:r>
      <w:r>
        <w:rPr>
          <w:spacing w:val="-47"/>
        </w:rPr>
      </w:r>
      <w:r>
        <w:rPr/>
        <w:t>足冲减的，调整留存收益。</w:t>
      </w:r>
    </w:p>
    <w:p>
      <w:pPr>
        <w:pStyle w:val="BodyText"/>
        <w:spacing w:line="273" w:lineRule="auto"/>
        <w:ind w:right="0"/>
        <w:jc w:val="left"/>
      </w:pPr>
      <w:r>
        <w:rPr/>
        <w:t>④处置长期股权投资</w:t>
      </w:r>
      <w:r>
        <w:rPr>
          <w:w w:val="100"/>
        </w:rPr>
        <w:t> </w:t>
      </w:r>
      <w:r>
        <w:rPr>
          <w:spacing w:val="-2"/>
        </w:rPr>
        <w:t>在合并财务报表中，母公司在不丧失控制权的情况下部分处置对子公司的长期股权投资，处置</w:t>
      </w:r>
    </w:p>
    <w:p>
      <w:pPr>
        <w:pStyle w:val="BodyText"/>
        <w:spacing w:line="273" w:lineRule="auto" w:before="8"/>
        <w:ind w:left="153" w:right="130"/>
        <w:jc w:val="both"/>
      </w:pPr>
      <w:r>
        <w:rPr>
          <w:spacing w:val="-2"/>
        </w:rPr>
        <w:t>价款与处置长期股权投资相对应享有子公司净资产的差额计入股东权益；母公司部分处置对子公司</w:t>
      </w:r>
      <w:r>
        <w:rPr>
          <w:spacing w:val="-42"/>
        </w:rPr>
        <w:t> </w:t>
      </w:r>
      <w:r>
        <w:rPr>
          <w:spacing w:val="-42"/>
        </w:rPr>
      </w:r>
      <w:r>
        <w:rPr>
          <w:spacing w:val="-7"/>
          <w:w w:val="100"/>
        </w:rPr>
        <w:t>的长期股权投资导致丧失对子公司控制权的，按本附注四、5、（2）“合并财务报表编制的方法”中</w:t>
      </w:r>
      <w:r>
        <w:rPr>
          <w:spacing w:val="-78"/>
          <w:w w:val="100"/>
        </w:rPr>
        <w:t> </w:t>
      </w:r>
      <w:r>
        <w:rPr>
          <w:spacing w:val="-78"/>
          <w:w w:val="100"/>
        </w:rPr>
      </w:r>
      <w:r>
        <w:rPr/>
        <w:t>所述的相关会计政策处理。</w:t>
      </w:r>
    </w:p>
    <w:p>
      <w:pPr>
        <w:pStyle w:val="BodyText"/>
        <w:spacing w:line="273" w:lineRule="auto"/>
        <w:ind w:left="153" w:right="133" w:firstLine="420"/>
        <w:jc w:val="both"/>
      </w:pPr>
      <w:r>
        <w:rPr>
          <w:spacing w:val="-2"/>
        </w:rPr>
        <w:t>其他情形下的长期股权投资处置，对于处置的股权，其账面价值与实际取得价款的差额，计入</w:t>
      </w:r>
      <w:r>
        <w:rPr>
          <w:w w:val="100"/>
        </w:rPr>
        <w:t> </w:t>
      </w:r>
      <w:r>
        <w:rPr/>
        <w:t>当期损益。</w:t>
      </w:r>
    </w:p>
    <w:p>
      <w:pPr>
        <w:pStyle w:val="BodyText"/>
        <w:spacing w:line="273" w:lineRule="auto"/>
        <w:ind w:left="153" w:right="132" w:firstLine="420"/>
        <w:jc w:val="both"/>
      </w:pPr>
      <w:r>
        <w:rPr>
          <w:spacing w:val="-2"/>
        </w:rPr>
        <w:t>采用权益法核算的长期股权投资，处置后的剩余股权仍采用权益法核算的，在处置时将原计入</w:t>
      </w:r>
      <w:r>
        <w:rPr>
          <w:w w:val="100"/>
        </w:rPr>
        <w:t> </w:t>
      </w:r>
      <w:r>
        <w:rPr>
          <w:spacing w:val="2"/>
        </w:rPr>
        <w:t>股东权益的其他综合收益部分按相应的比例采用与被投资单位直接处置相关资产或负债相同的基</w:t>
      </w:r>
      <w:r>
        <w:rPr>
          <w:spacing w:val="-20"/>
        </w:rPr>
        <w:t> </w:t>
      </w:r>
      <w:r>
        <w:rPr>
          <w:spacing w:val="-20"/>
        </w:rPr>
      </w:r>
      <w:r>
        <w:rPr>
          <w:spacing w:val="-2"/>
        </w:rPr>
        <w:t>础进行会计处理。因被投资方除净损益、其他综合收益和利润分配以外的其他所有者权益变动而确</w:t>
      </w:r>
      <w:r>
        <w:rPr>
          <w:spacing w:val="-46"/>
        </w:rPr>
        <w:t> </w:t>
      </w:r>
      <w:r>
        <w:rPr>
          <w:spacing w:val="-46"/>
        </w:rPr>
      </w:r>
      <w:r>
        <w:rPr/>
        <w:t>认的所有者权益，按比例结转入当期损益。</w:t>
      </w:r>
    </w:p>
    <w:p>
      <w:pPr>
        <w:pStyle w:val="BodyText"/>
        <w:spacing w:line="273" w:lineRule="auto"/>
        <w:ind w:left="153" w:right="130" w:firstLine="420"/>
        <w:jc w:val="both"/>
      </w:pPr>
      <w:r>
        <w:rPr>
          <w:spacing w:val="-2"/>
        </w:rPr>
        <w:t>采用成本法核算的长期股权投资，处置后剩余股权仍采用成本法核算的，其在取得对被投资单</w:t>
      </w:r>
      <w:r>
        <w:rPr>
          <w:w w:val="100"/>
        </w:rPr>
        <w:t> </w:t>
      </w:r>
      <w:r>
        <w:rPr>
          <w:spacing w:val="-2"/>
        </w:rPr>
        <w:t>位的控制之前因采用权益法核算或金融工具确认和计量准则核算而确认的其他综合收益，采用与被</w:t>
      </w:r>
      <w:r>
        <w:rPr>
          <w:spacing w:val="-42"/>
        </w:rPr>
        <w:t> </w:t>
      </w:r>
      <w:r>
        <w:rPr>
          <w:spacing w:val="-42"/>
        </w:rPr>
      </w:r>
      <w:r>
        <w:rPr>
          <w:spacing w:val="-2"/>
        </w:rPr>
        <w:t>投资单位直接处置相关资产或负债相同的基础进行会计处理，并按比例结转当期损益；因采用权益</w:t>
      </w:r>
      <w:r>
        <w:rPr>
          <w:spacing w:val="-44"/>
        </w:rPr>
        <w:t> </w:t>
      </w:r>
      <w:r>
        <w:rPr>
          <w:spacing w:val="-44"/>
        </w:rPr>
      </w:r>
      <w:r>
        <w:rPr>
          <w:spacing w:val="-2"/>
        </w:rPr>
        <w:t>法核算而确认的被投资单位净资产中除净损益、其他综合收益和利润分配以外的其他所有者权益变</w:t>
      </w:r>
      <w:r>
        <w:rPr>
          <w:spacing w:val="-42"/>
        </w:rPr>
        <w:t> </w:t>
      </w:r>
      <w:r>
        <w:rPr>
          <w:spacing w:val="-42"/>
        </w:rPr>
      </w:r>
      <w:r>
        <w:rPr/>
        <w:t>动按比例结转当期损益。</w:t>
      </w:r>
    </w:p>
    <w:p>
      <w:pPr>
        <w:pStyle w:val="BodyText"/>
        <w:spacing w:line="273" w:lineRule="auto"/>
        <w:ind w:left="153" w:right="130" w:firstLine="420"/>
        <w:jc w:val="both"/>
      </w:pPr>
      <w:r>
        <w:rPr>
          <w:spacing w:val="-2"/>
        </w:rPr>
        <w:t>本公司因处置部分股权投资丧失了对被投资单位的控制的，在编制个别财务报表时，处置后的</w:t>
      </w:r>
      <w:r>
        <w:rPr>
          <w:w w:val="100"/>
        </w:rPr>
        <w:t> </w:t>
      </w:r>
      <w:r>
        <w:rPr>
          <w:spacing w:val="-2"/>
        </w:rPr>
        <w:t>剩余股权能够对被投资单位实施共同控制或施加重大影响的，改按权益法核算，并对该剩余股权视</w:t>
      </w:r>
      <w:r>
        <w:rPr>
          <w:spacing w:val="-44"/>
        </w:rPr>
        <w:t> </w:t>
      </w:r>
      <w:r>
        <w:rPr>
          <w:spacing w:val="-44"/>
        </w:rPr>
      </w:r>
      <w:r>
        <w:rPr>
          <w:spacing w:val="-2"/>
        </w:rPr>
        <w:t>同自取得时即采用权益法核算进行调整；处置后的剩余股权不能对被投资单位实施共同控制或施加</w:t>
      </w:r>
      <w:r>
        <w:rPr>
          <w:spacing w:val="-42"/>
        </w:rPr>
        <w:t> </w:t>
      </w:r>
      <w:r>
        <w:rPr>
          <w:spacing w:val="-42"/>
        </w:rPr>
      </w:r>
      <w:r>
        <w:rPr>
          <w:spacing w:val="-2"/>
        </w:rPr>
        <w:t>重大影响的，改按金融工具确认和计量准则的有关规定进行会计处理，其在丧失控制之日的公允价</w:t>
      </w:r>
      <w:r>
        <w:rPr>
          <w:spacing w:val="-46"/>
        </w:rPr>
        <w:t> </w:t>
      </w:r>
      <w:r>
        <w:rPr>
          <w:spacing w:val="-46"/>
        </w:rPr>
      </w:r>
      <w:r>
        <w:rPr>
          <w:spacing w:val="-2"/>
        </w:rPr>
        <w:t>值与账面价值之间的差额计入当期损益。对于本公司取得对被投资单位的控制之前，因采用权益法</w:t>
      </w:r>
      <w:r>
        <w:rPr>
          <w:spacing w:val="-43"/>
        </w:rPr>
        <w:t> </w:t>
      </w:r>
      <w:r>
        <w:rPr>
          <w:spacing w:val="-43"/>
        </w:rPr>
      </w:r>
      <w:r>
        <w:rPr>
          <w:spacing w:val="-2"/>
        </w:rPr>
        <w:t>核算或金融工具确认和计量准则核算而确认的其他综合收益，在丧失对被投资单位控制时采用与被</w:t>
      </w:r>
      <w:r>
        <w:rPr>
          <w:spacing w:val="-42"/>
        </w:rPr>
        <w:t> </w:t>
      </w:r>
      <w:r>
        <w:rPr>
          <w:spacing w:val="-42"/>
        </w:rPr>
      </w:r>
      <w:r>
        <w:rPr>
          <w:spacing w:val="-2"/>
        </w:rPr>
        <w:t>投资单位直接处置相关资产或负债相同的基础进行会计处理，因采用权益法核算而确认的被投资单</w:t>
      </w:r>
      <w:r>
        <w:rPr>
          <w:spacing w:val="-42"/>
        </w:rPr>
        <w:t> </w:t>
      </w:r>
      <w:r>
        <w:rPr>
          <w:spacing w:val="-42"/>
        </w:rPr>
      </w:r>
      <w:r>
        <w:rPr>
          <w:spacing w:val="-2"/>
        </w:rPr>
        <w:t>位净资产中除净损益、其他综合收益和利润分配以外的其他所有者权益变动在丧失对被投资单位控</w:t>
      </w:r>
      <w:r>
        <w:rPr>
          <w:spacing w:val="-42"/>
        </w:rPr>
        <w:t> </w:t>
      </w:r>
      <w:r>
        <w:rPr>
          <w:spacing w:val="-42"/>
        </w:rPr>
      </w:r>
      <w:r>
        <w:rPr>
          <w:spacing w:val="-2"/>
        </w:rPr>
        <w:t>制时结转入当期损益。其中，处置后的剩余股权采用权益法核算的，其他综合收益和其他所有者权</w:t>
      </w:r>
      <w:r>
        <w:rPr>
          <w:spacing w:val="-49"/>
        </w:rPr>
        <w:t> </w:t>
      </w:r>
      <w:r>
        <w:rPr>
          <w:spacing w:val="-49"/>
        </w:rPr>
      </w:r>
      <w:r>
        <w:rPr>
          <w:spacing w:val="-2"/>
        </w:rPr>
        <w:t>益按比例结转；处置后的剩余股权改按金融工具确认和计量准则进行会计处理的，其他综合收益和</w:t>
      </w:r>
      <w:r>
        <w:rPr>
          <w:spacing w:val="-44"/>
        </w:rPr>
        <w:t> </w:t>
      </w:r>
      <w:r>
        <w:rPr>
          <w:spacing w:val="-44"/>
        </w:rPr>
      </w:r>
      <w:r>
        <w:rPr/>
        <w:t>其他所有者权益全部结转。</w:t>
      </w:r>
    </w:p>
    <w:p>
      <w:pPr>
        <w:pStyle w:val="BodyText"/>
        <w:spacing w:line="273" w:lineRule="auto"/>
        <w:ind w:left="153" w:right="113" w:firstLine="420"/>
        <w:jc w:val="both"/>
      </w:pPr>
      <w:r>
        <w:rPr>
          <w:spacing w:val="-2"/>
        </w:rPr>
        <w:t>本公司因处置部分股权投资丧失了对被投资单位的共同控制或重大影响的，处置后的剩余股权</w:t>
      </w:r>
      <w:r>
        <w:rPr>
          <w:w w:val="100"/>
        </w:rPr>
        <w:t> </w:t>
      </w:r>
      <w:r>
        <w:rPr>
          <w:spacing w:val="-2"/>
        </w:rPr>
        <w:t>改按金融工具确认和计量准则核算，其在丧失共同控制或重大影响之日的公允价值与账面价值之间</w:t>
      </w:r>
      <w:r>
        <w:rPr>
          <w:spacing w:val="-42"/>
        </w:rPr>
        <w:t> </w:t>
      </w:r>
      <w:r>
        <w:rPr>
          <w:spacing w:val="-42"/>
        </w:rPr>
      </w:r>
      <w:r>
        <w:rPr>
          <w:spacing w:val="-2"/>
        </w:rPr>
        <w:t>的差额计入当期损益。原股权投资因采用权益法核算而确认的其他综合收益，在终止采用权益法核</w:t>
      </w:r>
      <w:r>
        <w:rPr>
          <w:spacing w:val="-43"/>
        </w:rPr>
        <w:t> </w:t>
      </w:r>
      <w:r>
        <w:rPr>
          <w:spacing w:val="-43"/>
        </w:rPr>
      </w:r>
      <w:r>
        <w:rPr>
          <w:spacing w:val="-2"/>
        </w:rPr>
        <w:t>算时采用与被投资单位直接处置相关资产或负债相同的基础进行会计处理，因被投资方除净损益、</w:t>
      </w:r>
      <w:r>
        <w:rPr>
          <w:spacing w:val="-25"/>
        </w:rPr>
        <w:t> </w:t>
      </w:r>
      <w:r>
        <w:rPr>
          <w:spacing w:val="-25"/>
        </w:rPr>
      </w:r>
      <w:r>
        <w:rPr>
          <w:spacing w:val="-2"/>
        </w:rPr>
        <w:t>其他综合收益和利润分配以外的其他所有者权益变动而确认的所有者权益，在终止采用权益法时全</w:t>
      </w:r>
      <w:r>
        <w:rPr>
          <w:spacing w:val="-42"/>
        </w:rPr>
        <w:t> </w:t>
      </w:r>
      <w:r>
        <w:rPr>
          <w:spacing w:val="-42"/>
        </w:rPr>
      </w:r>
      <w:r>
        <w:rPr/>
        <w:t>部转入当期投资收益。</w:t>
      </w:r>
    </w:p>
    <w:p>
      <w:pPr>
        <w:pStyle w:val="BodyText"/>
        <w:spacing w:line="273" w:lineRule="auto"/>
        <w:ind w:left="153" w:right="130" w:firstLine="420"/>
        <w:jc w:val="both"/>
      </w:pPr>
      <w:r>
        <w:rPr>
          <w:spacing w:val="-2"/>
        </w:rPr>
        <w:t>本公司通过多次交易分步处置对子公司股权投资直至丧失控制权，如果上述交易属于一揽子交</w:t>
      </w:r>
      <w:r>
        <w:rPr>
          <w:w w:val="100"/>
        </w:rPr>
        <w:t> </w:t>
      </w:r>
      <w:r>
        <w:rPr>
          <w:spacing w:val="-2"/>
        </w:rPr>
        <w:t>易的，将各项交易作为一项处置子公司股权投资并丧失控制权的交易进行会计处理，在丧失控制权</w:t>
      </w:r>
      <w:r>
        <w:rPr>
          <w:spacing w:val="-43"/>
        </w:rPr>
        <w:t> </w:t>
      </w:r>
      <w:r>
        <w:rPr>
          <w:spacing w:val="-43"/>
        </w:rPr>
      </w:r>
      <w:r>
        <w:rPr>
          <w:spacing w:val="-2"/>
        </w:rPr>
        <w:t>之前每一次处置价款与所处置的股权对应的长期股权投资账面价值之间的差额，先确认为其他综合</w:t>
      </w:r>
      <w:r>
        <w:rPr>
          <w:spacing w:val="-42"/>
        </w:rPr>
        <w:t> </w:t>
      </w:r>
      <w:r>
        <w:rPr>
          <w:spacing w:val="-42"/>
        </w:rPr>
      </w:r>
      <w:r>
        <w:rPr/>
        <w:t>收益，到丧失控制权时再一并转入丧失控制权的当期损益。</w:t>
      </w:r>
    </w:p>
    <w:p>
      <w:pPr>
        <w:spacing w:line="259" w:lineRule="auto" w:before="77"/>
        <w:ind w:left="573" w:right="2071" w:firstLine="2"/>
        <w:jc w:val="left"/>
        <w:rPr>
          <w:rFonts w:ascii="宋体" w:hAnsi="宋体" w:cs="宋体" w:eastAsia="宋体" w:hint="default"/>
          <w:sz w:val="21"/>
          <w:szCs w:val="21"/>
        </w:rPr>
      </w:pPr>
      <w:r>
        <w:rPr>
          <w:rFonts w:ascii="宋体" w:hAnsi="宋体" w:cs="宋体" w:eastAsia="宋体" w:hint="default"/>
          <w:b/>
          <w:bCs/>
          <w:sz w:val="21"/>
          <w:szCs w:val="21"/>
        </w:rPr>
        <w:t>12、投资性房地产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本公司投资性房地产是指为赚取租金而持有的房地产。</w:t>
      </w:r>
    </w:p>
    <w:p>
      <w:pPr>
        <w:pStyle w:val="BodyText"/>
        <w:spacing w:line="273" w:lineRule="auto" w:before="20"/>
        <w:ind w:left="153" w:right="130" w:firstLine="420"/>
        <w:jc w:val="both"/>
      </w:pPr>
      <w:r>
        <w:rPr>
          <w:spacing w:val="-2"/>
        </w:rPr>
        <w:t>投资性房地产按取得时的实际成本入账，由建造该项资产达到预定可使用状态前所发生的必要</w:t>
      </w:r>
      <w:r>
        <w:rPr>
          <w:w w:val="100"/>
        </w:rPr>
        <w:t> </w:t>
      </w:r>
      <w:r>
        <w:rPr/>
        <w:t>支出构成。</w:t>
      </w:r>
    </w:p>
    <w:p>
      <w:pPr>
        <w:pStyle w:val="BodyText"/>
        <w:spacing w:line="240" w:lineRule="auto" w:before="8"/>
        <w:ind w:right="0"/>
        <w:jc w:val="left"/>
      </w:pPr>
      <w:r>
        <w:rPr/>
        <w:t>本公司对投资性房地产采用成本模式进行后续计量，折旧政策详见本附注“固定资产的标准、</w:t>
      </w:r>
    </w:p>
    <w:p>
      <w:pPr>
        <w:spacing w:after="0" w:line="240" w:lineRule="auto"/>
        <w:jc w:val="left"/>
        <w:sectPr>
          <w:pgSz w:w="11910" w:h="16840"/>
          <w:pgMar w:header="884" w:footer="1219" w:top="1140" w:bottom="1400" w:left="1320" w:right="1280"/>
        </w:sectPr>
      </w:pPr>
    </w:p>
    <w:p>
      <w:pPr>
        <w:pStyle w:val="BodyText"/>
        <w:spacing w:line="273" w:lineRule="auto" w:before="131"/>
        <w:ind w:left="673" w:right="0" w:hanging="421"/>
        <w:jc w:val="left"/>
      </w:pPr>
      <w:r>
        <w:rPr>
          <w:spacing w:val="-11"/>
          <w:w w:val="100"/>
        </w:rPr>
        <w:t>分类、计价、折旧政策”。</w:t>
      </w:r>
      <w:r>
        <w:rPr>
          <w:spacing w:val="-95"/>
          <w:w w:val="100"/>
        </w:rPr>
        <w:t> </w:t>
      </w:r>
      <w:r>
        <w:rPr>
          <w:spacing w:val="-95"/>
          <w:w w:val="100"/>
        </w:rPr>
      </w:r>
      <w:r>
        <w:rPr>
          <w:spacing w:val="-2"/>
        </w:rPr>
        <w:t>本公司年末对投资性房地产按照账面净值与可收回金额孰低计量，按单项资产可收回金额低于</w:t>
      </w:r>
    </w:p>
    <w:p>
      <w:pPr>
        <w:pStyle w:val="BodyText"/>
        <w:spacing w:line="273" w:lineRule="auto"/>
        <w:ind w:left="253" w:right="0"/>
        <w:jc w:val="left"/>
      </w:pPr>
      <w:r>
        <w:rPr>
          <w:spacing w:val="-5"/>
        </w:rPr>
        <w:t>账面净值的差额，计提投资性房地产减值准备。资产减值损失一经确认，在以后会计期间不再转回。</w:t>
      </w:r>
      <w:r>
        <w:rPr>
          <w:spacing w:val="-12"/>
        </w:rPr>
        <w:t> </w:t>
      </w:r>
      <w:r>
        <w:rPr>
          <w:spacing w:val="-12"/>
        </w:rPr>
      </w:r>
      <w:r>
        <w:rPr/>
        <w:t>本公司投资性房地产按照取得时的成本进行初始计量，并采用成本模式进行后续计量。</w:t>
      </w:r>
    </w:p>
    <w:p>
      <w:pPr>
        <w:pStyle w:val="BodyText"/>
        <w:spacing w:line="273" w:lineRule="auto"/>
        <w:ind w:left="253" w:right="310" w:firstLine="420"/>
        <w:jc w:val="both"/>
      </w:pPr>
      <w:r>
        <w:rPr>
          <w:spacing w:val="-2"/>
        </w:rPr>
        <w:t>本公司投资性房地产可收回金额低于其账面价值时，按单项投资性房地产可收回金额低于账面</w:t>
      </w:r>
      <w:r>
        <w:rPr>
          <w:w w:val="100"/>
        </w:rPr>
        <w:t> </w:t>
      </w:r>
      <w:r>
        <w:rPr>
          <w:spacing w:val="-2"/>
        </w:rPr>
        <w:t>价值的差额，确认投资性房地产减值准备。本公司投资性房地产减值准备一经确认，在以后会计期</w:t>
      </w:r>
      <w:r>
        <w:rPr>
          <w:spacing w:val="-46"/>
        </w:rPr>
        <w:t> </w:t>
      </w:r>
      <w:r>
        <w:rPr>
          <w:spacing w:val="-46"/>
        </w:rPr>
      </w:r>
      <w:r>
        <w:rPr/>
        <w:t>间不得转回。</w:t>
      </w:r>
    </w:p>
    <w:p>
      <w:pPr>
        <w:spacing w:before="77"/>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13、固定资产</w:t>
      </w:r>
      <w:r>
        <w:rPr>
          <w:rFonts w:ascii="宋体" w:hAnsi="宋体" w:cs="宋体" w:eastAsia="宋体" w:hint="default"/>
          <w:sz w:val="21"/>
          <w:szCs w:val="21"/>
        </w:rPr>
      </w:r>
    </w:p>
    <w:p>
      <w:pPr>
        <w:pStyle w:val="BodyText"/>
        <w:spacing w:line="273" w:lineRule="auto" w:before="22"/>
        <w:ind w:left="673" w:right="0"/>
        <w:jc w:val="left"/>
      </w:pPr>
      <w:r>
        <w:rPr/>
        <w:t>（1）固定资产确认条件</w:t>
      </w:r>
      <w:r>
        <w:rPr>
          <w:w w:val="100"/>
        </w:rPr>
        <w:t> </w:t>
      </w:r>
      <w:r>
        <w:rPr>
          <w:spacing w:val="-2"/>
        </w:rPr>
        <w:t>固定资产是指为生产商品、提供劳务、出租或经营管理而持有的，使用寿命超过一个会计年度</w:t>
      </w:r>
    </w:p>
    <w:p>
      <w:pPr>
        <w:pStyle w:val="BodyText"/>
        <w:spacing w:line="273" w:lineRule="auto"/>
        <w:ind w:left="253" w:right="0"/>
        <w:jc w:val="left"/>
      </w:pPr>
      <w:r>
        <w:rPr>
          <w:spacing w:val="-2"/>
        </w:rPr>
        <w:t>的有形资产。固定资产仅在与其有关的经济利益很可能流入本公司，且其成本能够可靠地计量时才</w:t>
      </w:r>
      <w:r>
        <w:rPr>
          <w:spacing w:val="-45"/>
        </w:rPr>
        <w:t> </w:t>
      </w:r>
      <w:r>
        <w:rPr>
          <w:spacing w:val="-45"/>
        </w:rPr>
      </w:r>
      <w:r>
        <w:rPr/>
        <w:t>予以确认。</w:t>
      </w:r>
    </w:p>
    <w:p>
      <w:pPr>
        <w:pStyle w:val="BodyText"/>
        <w:spacing w:line="273" w:lineRule="auto"/>
        <w:ind w:left="673" w:right="2987"/>
        <w:jc w:val="left"/>
      </w:pPr>
      <w:r>
        <w:rPr/>
        <w:t>（2）固定资产的初始计量</w:t>
      </w:r>
      <w:r>
        <w:rPr>
          <w:w w:val="100"/>
        </w:rPr>
        <w:t> </w:t>
      </w:r>
      <w:r>
        <w:rPr>
          <w:spacing w:val="-2"/>
        </w:rPr>
        <w:t>本公司固定资产通常按照实际成本作为初始计量。</w:t>
      </w:r>
    </w:p>
    <w:p>
      <w:pPr>
        <w:pStyle w:val="BodyText"/>
        <w:spacing w:line="273" w:lineRule="auto"/>
        <w:ind w:left="253" w:right="310" w:firstLine="420"/>
        <w:jc w:val="both"/>
      </w:pPr>
      <w:r>
        <w:rPr>
          <w:spacing w:val="-2"/>
        </w:rPr>
        <w:t>本公司购买固定资产的价款超过正常信用条件延期支付，实质上具有融资性质的，固定资产的</w:t>
      </w:r>
      <w:r>
        <w:rPr>
          <w:w w:val="100"/>
        </w:rPr>
        <w:t> </w:t>
      </w:r>
      <w:r>
        <w:rPr/>
        <w:t>成本以购买价款的现值为基础确定。</w:t>
      </w:r>
    </w:p>
    <w:p>
      <w:pPr>
        <w:pStyle w:val="BodyText"/>
        <w:spacing w:line="273" w:lineRule="auto"/>
        <w:ind w:left="253" w:right="310" w:firstLine="420"/>
        <w:jc w:val="both"/>
      </w:pPr>
      <w:r>
        <w:rPr>
          <w:spacing w:val="-2"/>
        </w:rPr>
        <w:t>本公司债务重组取得债务人用以抵债的固定资产，以该固定资产的公允价值为基础确定其入账</w:t>
      </w:r>
      <w:r>
        <w:rPr>
          <w:w w:val="100"/>
        </w:rPr>
        <w:t> </w:t>
      </w:r>
      <w:r>
        <w:rPr>
          <w:spacing w:val="-2"/>
        </w:rPr>
        <w:t>价值，并将重组债务的账面价值与该用以抵债的固定资产公允价值之间的差额，计入当期损益；在</w:t>
      </w:r>
      <w:r>
        <w:rPr>
          <w:spacing w:val="-43"/>
        </w:rPr>
        <w:t> </w:t>
      </w:r>
      <w:r>
        <w:rPr>
          <w:spacing w:val="-43"/>
        </w:rPr>
      </w:r>
      <w:r>
        <w:rPr>
          <w:spacing w:val="-2"/>
        </w:rPr>
        <w:t>非货币性资产交换具备商业实质和换入资产或换出资产的公允价值能够可靠计量的前提下，非货币</w:t>
      </w:r>
      <w:r>
        <w:rPr>
          <w:spacing w:val="-42"/>
        </w:rPr>
        <w:t> </w:t>
      </w:r>
      <w:r>
        <w:rPr>
          <w:spacing w:val="-42"/>
        </w:rPr>
      </w:r>
      <w:r>
        <w:rPr>
          <w:spacing w:val="-2"/>
        </w:rPr>
        <w:t>性资产交换换入的固定资产通常以换出资产的公允价值为基础确定其入账价值，除非有确凿证据表</w:t>
      </w:r>
      <w:r>
        <w:rPr>
          <w:spacing w:val="-42"/>
        </w:rPr>
        <w:t> </w:t>
      </w:r>
      <w:r>
        <w:rPr>
          <w:spacing w:val="-42"/>
        </w:rPr>
      </w:r>
      <w:r>
        <w:rPr>
          <w:spacing w:val="-2"/>
        </w:rPr>
        <w:t>明换入资产的公允价值更加可靠；不满足上述前提的非货币性资产交换，以换出资产的账面价值和</w:t>
      </w:r>
      <w:r>
        <w:rPr>
          <w:spacing w:val="-45"/>
        </w:rPr>
        <w:t> </w:t>
      </w:r>
      <w:r>
        <w:rPr>
          <w:spacing w:val="-45"/>
        </w:rPr>
      </w:r>
      <w:r>
        <w:rPr/>
        <w:t>应支付的相关税费作为换入固定资产的成本，不确认损益。</w:t>
      </w:r>
    </w:p>
    <w:p>
      <w:pPr>
        <w:pStyle w:val="BodyText"/>
        <w:spacing w:line="273" w:lineRule="auto" w:before="8"/>
        <w:ind w:left="253" w:right="315" w:firstLine="420"/>
        <w:jc w:val="both"/>
      </w:pPr>
      <w:r>
        <w:rPr>
          <w:spacing w:val="2"/>
        </w:rPr>
        <w:t>本公司以同一控制下的企业吸收合并方式取得的固定资产按被合并方的账面价值确定其入账</w:t>
      </w:r>
      <w:r>
        <w:rPr>
          <w:w w:val="100"/>
        </w:rPr>
        <w:t> </w:t>
      </w:r>
      <w:r>
        <w:rPr/>
        <w:t>价值；以非同一控制下的企业吸收合并方式取得的固定资产按公允价值确定其入账价值。</w:t>
      </w:r>
    </w:p>
    <w:p>
      <w:pPr>
        <w:pStyle w:val="BodyText"/>
        <w:spacing w:line="273" w:lineRule="auto"/>
        <w:ind w:left="253" w:right="310" w:firstLine="420"/>
        <w:jc w:val="both"/>
      </w:pPr>
      <w:r>
        <w:rPr>
          <w:spacing w:val="-2"/>
        </w:rPr>
        <w:t>本公司融资租入的固定资产，按租赁开始日租赁资产公允价值与最低租赁付款额现值两者中较</w:t>
      </w:r>
      <w:r>
        <w:rPr>
          <w:w w:val="100"/>
        </w:rPr>
        <w:t> </w:t>
      </w:r>
      <w:r>
        <w:rPr/>
        <w:t>低者作为入账价值。</w:t>
      </w:r>
    </w:p>
    <w:p>
      <w:pPr>
        <w:pStyle w:val="BodyText"/>
        <w:spacing w:line="273" w:lineRule="auto" w:before="8"/>
        <w:ind w:left="673" w:right="0"/>
        <w:jc w:val="left"/>
      </w:pPr>
      <w:r>
        <w:rPr/>
        <w:t>（3）各类固定资产的折旧方法</w:t>
      </w:r>
      <w:r>
        <w:rPr>
          <w:w w:val="100"/>
        </w:rPr>
        <w:t> </w:t>
      </w:r>
      <w:r>
        <w:rPr>
          <w:spacing w:val="-2"/>
        </w:rPr>
        <w:t>本公司固定资产折旧采用年限平均法分类计提，根据固定资产类别、预计使用年限和预计净残</w:t>
      </w:r>
    </w:p>
    <w:p>
      <w:pPr>
        <w:pStyle w:val="BodyText"/>
        <w:spacing w:line="273" w:lineRule="auto"/>
        <w:ind w:left="673" w:right="0" w:hanging="421"/>
        <w:jc w:val="left"/>
      </w:pPr>
      <w:r>
        <w:rPr/>
        <w:t>值率确定折旧率。</w:t>
      </w:r>
      <w:r>
        <w:rPr>
          <w:w w:val="100"/>
        </w:rPr>
        <w:t> </w:t>
      </w:r>
      <w:r>
        <w:rPr>
          <w:spacing w:val="-2"/>
        </w:rPr>
        <w:t>符合资本化条件的固定资产装修费用，在两次装修期间与固定资产尚可使用年限两者中较短的</w:t>
      </w:r>
    </w:p>
    <w:p>
      <w:pPr>
        <w:pStyle w:val="BodyText"/>
        <w:spacing w:line="273" w:lineRule="auto"/>
        <w:ind w:left="673" w:right="0" w:hanging="421"/>
        <w:jc w:val="left"/>
      </w:pPr>
      <w:r>
        <w:rPr/>
        <w:t>期间内，采用年限平均法单独计提折旧。</w:t>
      </w:r>
      <w:r>
        <w:rPr>
          <w:w w:val="100"/>
        </w:rPr>
        <w:t> </w:t>
      </w:r>
      <w:r>
        <w:rPr>
          <w:spacing w:val="-2"/>
        </w:rPr>
        <w:t>融资租赁方式租入的固定资产，能合理确定租赁期届满时将会取得租赁资产所有权的，在租赁</w:t>
      </w:r>
    </w:p>
    <w:p>
      <w:pPr>
        <w:pStyle w:val="BodyText"/>
        <w:spacing w:line="273" w:lineRule="auto"/>
        <w:ind w:left="253" w:right="0"/>
        <w:jc w:val="left"/>
      </w:pPr>
      <w:r>
        <w:rPr>
          <w:spacing w:val="-2"/>
        </w:rPr>
        <w:t>资产尚可使用年限内计提折旧；无法合理确定租赁期届满时能够取得租赁资产所有权的，在租赁期</w:t>
      </w:r>
      <w:r>
        <w:rPr>
          <w:spacing w:val="-43"/>
        </w:rPr>
        <w:t> </w:t>
      </w:r>
      <w:r>
        <w:rPr>
          <w:spacing w:val="-43"/>
        </w:rPr>
      </w:r>
      <w:r>
        <w:rPr/>
        <w:t>与租赁资产尚可使用年限两者中较短的期间内计提折旧。</w:t>
      </w:r>
    </w:p>
    <w:p>
      <w:pPr>
        <w:pStyle w:val="BodyText"/>
        <w:spacing w:line="240" w:lineRule="auto"/>
        <w:ind w:left="673" w:right="713"/>
        <w:jc w:val="left"/>
      </w:pPr>
      <w:r>
        <w:rPr/>
        <w:t>各类固定资产折旧年限和年折旧率如下：</w:t>
      </w:r>
    </w:p>
    <w:p>
      <w:pPr>
        <w:spacing w:line="240" w:lineRule="auto" w:before="1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690"/>
        <w:gridCol w:w="1841"/>
        <w:gridCol w:w="1706"/>
        <w:gridCol w:w="1404"/>
        <w:gridCol w:w="1714"/>
      </w:tblGrid>
      <w:tr>
        <w:trPr>
          <w:trHeight w:val="324" w:hRule="exact"/>
        </w:trPr>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6" w:right="0"/>
              <w:jc w:val="left"/>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t>（%）</w:t>
            </w:r>
          </w:p>
        </w:tc>
      </w:tr>
      <w:tr>
        <w:trPr>
          <w:trHeight w:val="322" w:hRule="exact"/>
        </w:trPr>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3.17</w:t>
            </w:r>
          </w:p>
        </w:tc>
      </w:tr>
      <w:tr>
        <w:trPr>
          <w:trHeight w:val="322" w:hRule="exact"/>
        </w:trPr>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19.00</w:t>
            </w:r>
          </w:p>
        </w:tc>
      </w:tr>
      <w:tr>
        <w:trPr>
          <w:trHeight w:val="322" w:hRule="exact"/>
        </w:trPr>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19.00</w:t>
            </w:r>
          </w:p>
        </w:tc>
      </w:tr>
      <w:tr>
        <w:trPr>
          <w:trHeight w:val="322" w:hRule="exact"/>
        </w:trPr>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办公和电子设备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31.67</w:t>
            </w:r>
          </w:p>
        </w:tc>
      </w:tr>
      <w:tr>
        <w:trPr>
          <w:trHeight w:val="324" w:hRule="exact"/>
        </w:trPr>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直线法</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31.67</w:t>
            </w:r>
          </w:p>
        </w:tc>
      </w:tr>
    </w:tbl>
    <w:p>
      <w:pPr>
        <w:pStyle w:val="BodyText"/>
        <w:spacing w:line="271" w:lineRule="auto" w:before="81"/>
        <w:ind w:left="673" w:right="0"/>
        <w:jc w:val="left"/>
      </w:pPr>
      <w:r>
        <w:rPr/>
        <w:t>（4）固定资产减值测试方法、减值准备计提方法</w:t>
      </w:r>
      <w:r>
        <w:rPr>
          <w:w w:val="100"/>
        </w:rPr>
        <w:t> </w:t>
      </w:r>
      <w:r>
        <w:rPr/>
        <w:t>资产负债表日，固定资产按照账面价值与可收回金额孰低计价。</w:t>
      </w:r>
      <w:r>
        <w:rPr>
          <w:w w:val="100"/>
        </w:rPr>
        <w:t> </w:t>
      </w:r>
      <w:r>
        <w:rPr>
          <w:spacing w:val="-2"/>
        </w:rPr>
        <w:t>存在减值迹象的，本公司估计其可收回金额。可收回金额低于其账面价值的，按差额计提资产</w:t>
      </w:r>
    </w:p>
    <w:p>
      <w:pPr>
        <w:spacing w:after="0" w:line="271" w:lineRule="auto"/>
        <w:jc w:val="left"/>
        <w:sectPr>
          <w:pgSz w:w="11910" w:h="16840"/>
          <w:pgMar w:header="884" w:footer="1219" w:top="1140" w:bottom="1400" w:left="1220" w:right="1100"/>
        </w:sectPr>
      </w:pPr>
    </w:p>
    <w:p>
      <w:pPr>
        <w:pStyle w:val="BodyText"/>
        <w:spacing w:line="273" w:lineRule="auto" w:before="131"/>
        <w:ind w:left="153" w:right="210"/>
        <w:jc w:val="both"/>
      </w:pPr>
      <w:r>
        <w:rPr>
          <w:spacing w:val="-2"/>
        </w:rPr>
        <w:t>减值准备。可收回金额根据固定资产的公允价值减去处置费用后的净额与资产预计未来现金流量的</w:t>
      </w:r>
      <w:r>
        <w:rPr>
          <w:spacing w:val="-42"/>
        </w:rPr>
        <w:t> </w:t>
      </w:r>
      <w:r>
        <w:rPr>
          <w:spacing w:val="-42"/>
        </w:rPr>
      </w:r>
      <w:r>
        <w:rPr/>
        <w:t>现值两者之间较高者确定。</w:t>
      </w:r>
    </w:p>
    <w:p>
      <w:pPr>
        <w:spacing w:line="333" w:lineRule="auto" w:before="7"/>
        <w:ind w:left="575" w:right="3345" w:hanging="3"/>
        <w:jc w:val="left"/>
        <w:rPr>
          <w:rFonts w:ascii="宋体" w:hAnsi="宋体" w:cs="宋体" w:eastAsia="宋体" w:hint="default"/>
          <w:sz w:val="21"/>
          <w:szCs w:val="21"/>
        </w:rPr>
      </w:pPr>
      <w:r>
        <w:rPr>
          <w:rFonts w:ascii="宋体" w:hAnsi="宋体" w:cs="宋体" w:eastAsia="宋体" w:hint="default"/>
          <w:spacing w:val="-2"/>
          <w:sz w:val="21"/>
          <w:szCs w:val="21"/>
        </w:rPr>
        <w:t>固定资产减值损失一经确认，在以后会计期间不再转回。</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b/>
          <w:bCs/>
          <w:sz w:val="21"/>
          <w:szCs w:val="21"/>
        </w:rPr>
        <w:t>14、在建工程</w:t>
      </w:r>
      <w:r>
        <w:rPr>
          <w:rFonts w:ascii="宋体" w:hAnsi="宋体" w:cs="宋体" w:eastAsia="宋体" w:hint="default"/>
          <w:sz w:val="21"/>
          <w:szCs w:val="21"/>
        </w:rPr>
      </w:r>
    </w:p>
    <w:p>
      <w:pPr>
        <w:pStyle w:val="BodyText"/>
        <w:spacing w:line="216" w:lineRule="exact" w:before="0"/>
        <w:ind w:right="46"/>
        <w:jc w:val="left"/>
      </w:pPr>
      <w:r>
        <w:rPr/>
        <w:t>（1）在建工程类别</w:t>
      </w:r>
    </w:p>
    <w:p>
      <w:pPr>
        <w:pStyle w:val="BodyText"/>
        <w:spacing w:line="240" w:lineRule="auto" w:before="37"/>
        <w:ind w:right="46"/>
        <w:jc w:val="left"/>
      </w:pPr>
      <w:r>
        <w:rPr/>
        <w:t>本公司在建工程以立项项目分类核算。</w:t>
      </w:r>
    </w:p>
    <w:p>
      <w:pPr>
        <w:pStyle w:val="BodyText"/>
        <w:spacing w:line="273" w:lineRule="auto" w:before="37"/>
        <w:ind w:right="46"/>
        <w:jc w:val="left"/>
      </w:pPr>
      <w:r>
        <w:rPr/>
        <w:t>（2）在建工程的初始计量和后续计量</w:t>
      </w:r>
      <w:r>
        <w:rPr>
          <w:w w:val="100"/>
        </w:rPr>
        <w:t> </w:t>
      </w:r>
      <w:r>
        <w:rPr>
          <w:spacing w:val="-2"/>
        </w:rPr>
        <w:t>本公司在建工程按照实际发生的支出确定其工程成本，并单独核算。工程达到预定可使用状态</w:t>
      </w:r>
    </w:p>
    <w:p>
      <w:pPr>
        <w:pStyle w:val="BodyText"/>
        <w:spacing w:line="273" w:lineRule="auto"/>
        <w:ind w:left="153" w:right="210"/>
        <w:jc w:val="both"/>
      </w:pPr>
      <w:r>
        <w:rPr>
          <w:spacing w:val="-2"/>
        </w:rPr>
        <w:t>前因进行试运转所发生的净支出，计入工程成本。在建工程项目在达到预定可使用状态前所取得的</w:t>
      </w:r>
      <w:r>
        <w:rPr>
          <w:spacing w:val="-42"/>
        </w:rPr>
        <w:t> </w:t>
      </w:r>
      <w:r>
        <w:rPr>
          <w:spacing w:val="-42"/>
        </w:rPr>
      </w:r>
      <w:r>
        <w:rPr>
          <w:spacing w:val="-2"/>
        </w:rPr>
        <w:t>试运转过程中形成的、能够对外销售的产品，其发生的成本，计入在建工程成本，销售或转为库存</w:t>
      </w:r>
      <w:r>
        <w:rPr>
          <w:spacing w:val="-46"/>
        </w:rPr>
        <w:t> </w:t>
      </w:r>
      <w:r>
        <w:rPr>
          <w:spacing w:val="-46"/>
        </w:rPr>
      </w:r>
      <w:r>
        <w:rPr>
          <w:spacing w:val="-2"/>
        </w:rPr>
        <w:t>商品时，按实际销售收入或按预计售价冲减工程成本。在建工程发生的借款费用，符合借款费用资</w:t>
      </w:r>
      <w:r>
        <w:rPr>
          <w:spacing w:val="-46"/>
        </w:rPr>
        <w:t> </w:t>
      </w:r>
      <w:r>
        <w:rPr>
          <w:spacing w:val="-46"/>
        </w:rPr>
      </w:r>
      <w:r>
        <w:rPr/>
        <w:t>本化条件的，在所购建的固定资产达到预计可使用状态前，计入在建工程成本。</w:t>
      </w:r>
    </w:p>
    <w:p>
      <w:pPr>
        <w:pStyle w:val="BodyText"/>
        <w:spacing w:line="273" w:lineRule="auto"/>
        <w:ind w:right="46"/>
        <w:jc w:val="left"/>
      </w:pPr>
      <w:r>
        <w:rPr/>
        <w:t>（3）在建工程结转为固定资产的标准和时点</w:t>
      </w:r>
      <w:r>
        <w:rPr>
          <w:w w:val="100"/>
        </w:rPr>
        <w:t> </w:t>
      </w:r>
      <w:r>
        <w:rPr>
          <w:spacing w:val="-2"/>
        </w:rPr>
        <w:t>本公司在建工程项目按建造该项资产达到预定可使用状态前所发生的全部支出，作为固定资产</w:t>
      </w:r>
    </w:p>
    <w:p>
      <w:pPr>
        <w:pStyle w:val="BodyText"/>
        <w:spacing w:line="273" w:lineRule="auto"/>
        <w:ind w:left="153" w:right="193"/>
        <w:jc w:val="both"/>
      </w:pPr>
      <w:r>
        <w:rPr>
          <w:spacing w:val="-2"/>
        </w:rPr>
        <w:t>的入账价值。所建造的固定资产在建工程已达到预定可使用状态，但尚未办理竣工决算的，自达到</w:t>
      </w:r>
      <w:r>
        <w:rPr>
          <w:spacing w:val="-46"/>
        </w:rPr>
        <w:t> </w:t>
      </w:r>
      <w:r>
        <w:rPr>
          <w:spacing w:val="-46"/>
        </w:rPr>
      </w:r>
      <w:r>
        <w:rPr>
          <w:spacing w:val="-2"/>
        </w:rPr>
        <w:t>预定可使用状态之日起，根据工程预算、造价或者工程实际成本等，按估计的价值转入固定资产，</w:t>
      </w:r>
      <w:r>
        <w:rPr>
          <w:spacing w:val="-26"/>
        </w:rPr>
        <w:t> </w:t>
      </w:r>
      <w:r>
        <w:rPr>
          <w:spacing w:val="-26"/>
        </w:rPr>
      </w:r>
      <w:r>
        <w:rPr>
          <w:spacing w:val="-2"/>
        </w:rPr>
        <w:t>并按本公司固定资产折旧政策计提固定资产的折旧，待办理竣工决算后，再按实际成本调整原来的</w:t>
      </w:r>
      <w:r>
        <w:rPr>
          <w:spacing w:val="-44"/>
        </w:rPr>
        <w:t> </w:t>
      </w:r>
      <w:r>
        <w:rPr>
          <w:spacing w:val="-44"/>
        </w:rPr>
      </w:r>
      <w:r>
        <w:rPr/>
        <w:t>暂估价值，但不调整原已计提的折旧额。</w:t>
      </w:r>
    </w:p>
    <w:p>
      <w:pPr>
        <w:pStyle w:val="BodyText"/>
        <w:spacing w:line="273" w:lineRule="auto" w:before="8"/>
        <w:ind w:left="153" w:right="212" w:firstLine="420"/>
        <w:jc w:val="both"/>
      </w:pPr>
      <w:r>
        <w:rPr>
          <w:spacing w:val="-2"/>
        </w:rPr>
        <w:t>上述"达到预定可使用状态"，是指固定资产已达到本公司预定的可使用状态。当存在下列情况</w:t>
      </w:r>
      <w:r>
        <w:rPr>
          <w:w w:val="100"/>
        </w:rPr>
        <w:t> </w:t>
      </w:r>
      <w:r>
        <w:rPr/>
        <w:t>之一时，则认为所购建的固定资产已达到预定可使用状态：</w:t>
      </w:r>
    </w:p>
    <w:p>
      <w:pPr>
        <w:pStyle w:val="BodyText"/>
        <w:spacing w:line="240" w:lineRule="auto"/>
        <w:ind w:right="46"/>
        <w:jc w:val="left"/>
      </w:pPr>
      <w:r>
        <w:rPr/>
        <w:t>①固定资产的实体建造(包括安装)工作已经全部完成或者实质上已经全部完成；</w:t>
      </w:r>
    </w:p>
    <w:p>
      <w:pPr>
        <w:pStyle w:val="BodyText"/>
        <w:spacing w:line="273" w:lineRule="auto" w:before="37"/>
        <w:ind w:left="153" w:right="210" w:firstLine="420"/>
        <w:jc w:val="both"/>
      </w:pPr>
      <w:r>
        <w:rPr>
          <w:spacing w:val="-2"/>
        </w:rPr>
        <w:t>②已经过试生产或试运行，并且其结果表明资产能够正常运行或者能够稳定地生产出合格产品</w:t>
      </w:r>
      <w:r>
        <w:rPr>
          <w:w w:val="100"/>
        </w:rPr>
        <w:t> </w:t>
      </w:r>
      <w:r>
        <w:rPr/>
        <w:t>时，或者试运行结果表明能够正常运转或营业时；</w:t>
      </w:r>
    </w:p>
    <w:p>
      <w:pPr>
        <w:pStyle w:val="BodyText"/>
        <w:spacing w:line="240" w:lineRule="auto"/>
        <w:ind w:right="46"/>
        <w:jc w:val="left"/>
      </w:pPr>
      <w:r>
        <w:rPr/>
        <w:t>③该项建造的固定资产上的支出金额很少或者几乎不再发生；</w:t>
      </w:r>
    </w:p>
    <w:p>
      <w:pPr>
        <w:pStyle w:val="BodyText"/>
        <w:spacing w:line="273" w:lineRule="auto" w:before="37"/>
        <w:ind w:left="153" w:right="210" w:firstLine="420"/>
        <w:jc w:val="both"/>
      </w:pPr>
      <w:r>
        <w:rPr>
          <w:spacing w:val="-2"/>
        </w:rPr>
        <w:t>④所购建的固定资产已经达到设计或合同要求，或与设计或合同要求相符或基本相符，即使有</w:t>
      </w:r>
      <w:r>
        <w:rPr>
          <w:w w:val="100"/>
        </w:rPr>
        <w:t> </w:t>
      </w:r>
      <w:r>
        <w:rPr/>
        <w:t>极个别地方与设计或合同要求不相符，也不足以影响其正常使用。</w:t>
      </w:r>
    </w:p>
    <w:p>
      <w:pPr>
        <w:pStyle w:val="BodyText"/>
        <w:spacing w:line="256" w:lineRule="auto" w:before="77"/>
        <w:ind w:right="46" w:firstLine="2"/>
        <w:jc w:val="left"/>
      </w:pPr>
      <w:r>
        <w:rPr>
          <w:rFonts w:ascii="宋体" w:hAnsi="宋体" w:cs="宋体" w:eastAsia="宋体" w:hint="default"/>
          <w:b/>
          <w:bCs/>
        </w:rPr>
        <w:t>15、借款费用</w:t>
      </w:r>
      <w:r>
        <w:rPr>
          <w:rFonts w:ascii="宋体" w:hAnsi="宋体" w:cs="宋体" w:eastAsia="宋体" w:hint="default"/>
          <w:b/>
          <w:bCs/>
          <w:w w:val="100"/>
        </w:rPr>
        <w:t> </w:t>
      </w:r>
      <w:r>
        <w:rPr>
          <w:spacing w:val="-5"/>
        </w:rPr>
        <w:t>本公司发生的借款费用，可直接归属于符合资本化条件的资产的购建或者生产的，予以资本化，</w:t>
      </w:r>
    </w:p>
    <w:p>
      <w:pPr>
        <w:pStyle w:val="BodyText"/>
        <w:spacing w:line="273" w:lineRule="auto" w:before="22"/>
        <w:ind w:left="153" w:right="210"/>
        <w:jc w:val="both"/>
      </w:pPr>
      <w:r>
        <w:rPr>
          <w:spacing w:val="-2"/>
        </w:rPr>
        <w:t>计入相关资产成本；其他借款费用，在发生时根据其发生额确认为费用，计入当期损益。符合资本</w:t>
      </w:r>
      <w:r>
        <w:rPr>
          <w:spacing w:val="-45"/>
        </w:rPr>
        <w:t> </w:t>
      </w:r>
      <w:r>
        <w:rPr>
          <w:spacing w:val="-45"/>
        </w:rPr>
      </w:r>
      <w:r>
        <w:rPr>
          <w:spacing w:val="-2"/>
        </w:rPr>
        <w:t>化条件的资产，是指需要经过相当长时间的购建或者生产活动才能达到预定可使用或者可销售状态</w:t>
      </w:r>
      <w:r>
        <w:rPr>
          <w:spacing w:val="-42"/>
        </w:rPr>
        <w:t> </w:t>
      </w:r>
      <w:r>
        <w:rPr>
          <w:spacing w:val="-42"/>
        </w:rPr>
      </w:r>
      <w:r>
        <w:rPr/>
        <w:t>的固定资产、投资性房地产和存货等资产。</w:t>
      </w:r>
    </w:p>
    <w:p>
      <w:pPr>
        <w:pStyle w:val="BodyText"/>
        <w:spacing w:line="273" w:lineRule="auto"/>
        <w:ind w:left="153" w:right="46" w:firstLine="420"/>
        <w:jc w:val="left"/>
      </w:pPr>
      <w:r>
        <w:rPr>
          <w:spacing w:val="-5"/>
          <w:w w:val="100"/>
        </w:rPr>
        <w:t>同时满足下列条件时，借款费用开始资本化：（1）资产支出已经发生，资产支出包括为购建或</w:t>
      </w:r>
      <w:r>
        <w:rPr>
          <w:w w:val="100"/>
        </w:rPr>
        <w:t> </w:t>
      </w:r>
      <w:r>
        <w:rPr/>
        <w:t>者生产符合资本化条件的资产而以支付现金、转移非现金资产或者承担带息债务形式发生的支出；</w:t>
      </w:r>
    </w:p>
    <w:p>
      <w:pPr>
        <w:pStyle w:val="BodyText"/>
        <w:spacing w:line="273" w:lineRule="auto" w:before="8"/>
        <w:ind w:left="153" w:right="212"/>
        <w:jc w:val="both"/>
      </w:pPr>
      <w:r>
        <w:rPr>
          <w:spacing w:val="-2"/>
          <w:w w:val="100"/>
        </w:rPr>
        <w:t>（2）借款费用已经发生；（3）为使资产达到预定可使用或者可销售状态所必要的购建或者生产活</w:t>
      </w:r>
      <w:r>
        <w:rPr>
          <w:spacing w:val="-90"/>
          <w:w w:val="100"/>
        </w:rPr>
        <w:t> </w:t>
      </w:r>
      <w:r>
        <w:rPr>
          <w:spacing w:val="-90"/>
          <w:w w:val="100"/>
        </w:rPr>
      </w:r>
      <w:r>
        <w:rPr/>
        <w:t>动已经开始。</w:t>
      </w:r>
    </w:p>
    <w:p>
      <w:pPr>
        <w:pStyle w:val="BodyText"/>
        <w:spacing w:line="273" w:lineRule="auto"/>
        <w:ind w:left="153" w:right="210" w:firstLine="420"/>
        <w:jc w:val="both"/>
      </w:pPr>
      <w:r>
        <w:rPr>
          <w:spacing w:val="-2"/>
        </w:rPr>
        <w:t>在资本化期间内，每一会计期间的资本化金额，为购建或者生产符合资本化条件的资产而借入</w:t>
      </w:r>
      <w:r>
        <w:rPr>
          <w:w w:val="100"/>
        </w:rPr>
        <w:t> </w:t>
      </w:r>
      <w:r>
        <w:rPr>
          <w:spacing w:val="-2"/>
        </w:rPr>
        <w:t>专门借款的，以专门借款当期实际发生的利息费用，减去将尚未动用的借款资金存入银行取得的利</w:t>
      </w:r>
      <w:r>
        <w:rPr>
          <w:spacing w:val="-46"/>
        </w:rPr>
        <w:t> </w:t>
      </w:r>
      <w:r>
        <w:rPr>
          <w:spacing w:val="-46"/>
        </w:rPr>
      </w:r>
      <w:r>
        <w:rPr>
          <w:spacing w:val="-2"/>
        </w:rPr>
        <w:t>息收入或进行暂时性投资取得的投资收益后的金额确定。为购建或者生产符合资本化条件的资产而</w:t>
      </w:r>
      <w:r>
        <w:rPr>
          <w:spacing w:val="-42"/>
        </w:rPr>
        <w:t> </w:t>
      </w:r>
      <w:r>
        <w:rPr>
          <w:spacing w:val="-42"/>
        </w:rPr>
      </w:r>
      <w:r>
        <w:rPr>
          <w:spacing w:val="-2"/>
        </w:rPr>
        <w:t>占用了一般借款的，根据累计资产支出超过专门借款部分的资产支出加权平均数乘以所占用一般借</w:t>
      </w:r>
      <w:r>
        <w:rPr>
          <w:spacing w:val="-41"/>
        </w:rPr>
        <w:t> </w:t>
      </w:r>
      <w:r>
        <w:rPr>
          <w:spacing w:val="-41"/>
        </w:rPr>
      </w:r>
      <w:r>
        <w:rPr>
          <w:spacing w:val="-2"/>
        </w:rPr>
        <w:t>款的资本化率，计算确定一般借款应予资本化的利息金额。利息资本化金额，不超过当期相关借款</w:t>
      </w:r>
      <w:r>
        <w:rPr>
          <w:spacing w:val="-46"/>
        </w:rPr>
        <w:t> </w:t>
      </w:r>
      <w:r>
        <w:rPr>
          <w:spacing w:val="-46"/>
        </w:rPr>
      </w:r>
      <w:r>
        <w:rPr/>
        <w:t>实际发生的利息金额。</w:t>
      </w:r>
    </w:p>
    <w:p>
      <w:pPr>
        <w:pStyle w:val="BodyText"/>
        <w:spacing w:line="273" w:lineRule="auto"/>
        <w:ind w:left="153" w:right="210" w:firstLine="420"/>
        <w:jc w:val="both"/>
      </w:pPr>
      <w:r>
        <w:rPr/>
        <w:t>符合资本化条件的资产在购建或者生产过程中发生非正常中断、且中断时间连续超过 3</w:t>
      </w:r>
      <w:r>
        <w:rPr>
          <w:spacing w:val="76"/>
        </w:rPr>
        <w:t> </w:t>
      </w:r>
      <w:r>
        <w:rPr/>
        <w:t>个月</w:t>
      </w:r>
      <w:r>
        <w:rPr>
          <w:w w:val="100"/>
        </w:rPr>
        <w:t> </w:t>
      </w:r>
      <w:r>
        <w:rPr>
          <w:spacing w:val="-2"/>
        </w:rPr>
        <w:t>的，暂停借款费用的资本化。在中断期间发生的借款费用确认为费用，计入当期损益，直至资产的</w:t>
      </w:r>
      <w:r>
        <w:rPr>
          <w:spacing w:val="-47"/>
        </w:rPr>
        <w:t> </w:t>
      </w:r>
      <w:r>
        <w:rPr>
          <w:spacing w:val="-47"/>
        </w:rPr>
      </w:r>
      <w:r>
        <w:rPr>
          <w:spacing w:val="-2"/>
        </w:rPr>
        <w:t>购建或者生产活动重新开始。如果中断是所购建或者生产的符合资本化条件的资产达到预定可使用</w:t>
      </w:r>
    </w:p>
    <w:p>
      <w:pPr>
        <w:spacing w:after="0" w:line="273" w:lineRule="auto"/>
        <w:jc w:val="both"/>
        <w:sectPr>
          <w:pgSz w:w="11910" w:h="16840"/>
          <w:pgMar w:header="884" w:footer="1219" w:top="1140" w:bottom="1400" w:left="1320" w:right="1200"/>
        </w:sectPr>
      </w:pPr>
    </w:p>
    <w:p>
      <w:pPr>
        <w:pStyle w:val="BodyText"/>
        <w:spacing w:line="273" w:lineRule="auto" w:before="131"/>
        <w:ind w:right="46" w:hanging="421"/>
        <w:jc w:val="left"/>
      </w:pPr>
      <w:r>
        <w:rPr/>
        <w:t>或者可销售状态必要的程序，借款费用继续资本化。</w:t>
      </w:r>
      <w:r>
        <w:rPr>
          <w:w w:val="100"/>
        </w:rPr>
        <w:t> </w:t>
      </w:r>
      <w:r>
        <w:rPr>
          <w:spacing w:val="2"/>
        </w:rPr>
        <w:t>购建或者生产符合资本化条件的资产达到预定可使用或者可销售状态时，停止借款费用资本</w:t>
      </w:r>
    </w:p>
    <w:p>
      <w:pPr>
        <w:pStyle w:val="BodyText"/>
        <w:spacing w:line="240" w:lineRule="auto"/>
        <w:ind w:left="153" w:right="0"/>
        <w:jc w:val="both"/>
      </w:pPr>
      <w:r>
        <w:rPr/>
        <w:t>化。</w:t>
      </w:r>
    </w:p>
    <w:p>
      <w:pPr>
        <w:spacing w:before="107"/>
        <w:ind w:left="575" w:right="46" w:firstLine="0"/>
        <w:jc w:val="left"/>
        <w:rPr>
          <w:rFonts w:ascii="宋体" w:hAnsi="宋体" w:cs="宋体" w:eastAsia="宋体" w:hint="default"/>
          <w:sz w:val="21"/>
          <w:szCs w:val="21"/>
        </w:rPr>
      </w:pPr>
      <w:r>
        <w:rPr>
          <w:rFonts w:ascii="宋体" w:hAnsi="宋体" w:cs="宋体" w:eastAsia="宋体" w:hint="default"/>
          <w:b/>
          <w:bCs/>
          <w:sz w:val="21"/>
          <w:szCs w:val="21"/>
        </w:rPr>
        <w:t>16、无形资产</w:t>
      </w:r>
      <w:r>
        <w:rPr>
          <w:rFonts w:ascii="宋体" w:hAnsi="宋体" w:cs="宋体" w:eastAsia="宋体" w:hint="default"/>
          <w:sz w:val="21"/>
          <w:szCs w:val="21"/>
        </w:rPr>
      </w:r>
    </w:p>
    <w:p>
      <w:pPr>
        <w:pStyle w:val="BodyText"/>
        <w:spacing w:line="273" w:lineRule="auto" w:before="22"/>
        <w:ind w:right="46"/>
        <w:jc w:val="left"/>
      </w:pPr>
      <w:r>
        <w:rPr/>
        <w:t>（1）无形资产的确认条件</w:t>
      </w:r>
      <w:r>
        <w:rPr>
          <w:w w:val="100"/>
        </w:rPr>
        <w:t> </w:t>
      </w:r>
      <w:r>
        <w:rPr>
          <w:spacing w:val="-2"/>
        </w:rPr>
        <w:t>本公司无形资产是指拥有或者控制的没有实物形态的可辨认非货币性资产。无形资产同时满足</w:t>
      </w:r>
    </w:p>
    <w:p>
      <w:pPr>
        <w:pStyle w:val="BodyText"/>
        <w:spacing w:line="240" w:lineRule="auto"/>
        <w:ind w:left="153" w:right="0"/>
        <w:jc w:val="both"/>
      </w:pPr>
      <w:r>
        <w:rPr/>
        <w:t>下列条件的，才能予以确认：</w:t>
      </w:r>
    </w:p>
    <w:p>
      <w:pPr>
        <w:pStyle w:val="BodyText"/>
        <w:spacing w:line="240" w:lineRule="auto" w:before="37"/>
        <w:ind w:right="46"/>
        <w:jc w:val="left"/>
      </w:pPr>
      <w:r>
        <w:rPr/>
        <w:t>①与该无形资产有关的经济利益很可能流入企业；</w:t>
      </w:r>
    </w:p>
    <w:p>
      <w:pPr>
        <w:pStyle w:val="BodyText"/>
        <w:spacing w:line="240" w:lineRule="auto" w:before="37"/>
        <w:ind w:right="46"/>
        <w:jc w:val="left"/>
      </w:pPr>
      <w:r>
        <w:rPr/>
        <w:t>②该无形资产的成本能够可靠地计量。</w:t>
      </w:r>
    </w:p>
    <w:p>
      <w:pPr>
        <w:pStyle w:val="BodyText"/>
        <w:spacing w:line="273" w:lineRule="auto" w:before="37"/>
        <w:ind w:right="3345"/>
        <w:jc w:val="left"/>
      </w:pPr>
      <w:r>
        <w:rPr/>
        <w:t>（2）无形资产的计价方法</w:t>
      </w:r>
      <w:r>
        <w:rPr>
          <w:w w:val="100"/>
        </w:rPr>
        <w:t> </w:t>
      </w:r>
      <w:r>
        <w:rPr>
          <w:spacing w:val="-2"/>
        </w:rPr>
        <w:t>本公司无形资产应当按照实际成本进行初始计量。</w:t>
      </w:r>
    </w:p>
    <w:p>
      <w:pPr>
        <w:pStyle w:val="BodyText"/>
        <w:spacing w:line="273" w:lineRule="auto" w:before="8"/>
        <w:ind w:left="153" w:right="46" w:firstLine="420"/>
        <w:jc w:val="left"/>
      </w:pPr>
      <w:r>
        <w:rPr>
          <w:spacing w:val="-2"/>
        </w:rPr>
        <w:t>本公司购买无形资产的价款超过正常信用条件延期支付，实质上具有融资性质的，无形资产的</w:t>
      </w:r>
      <w:r>
        <w:rPr>
          <w:w w:val="100"/>
        </w:rPr>
        <w:t> </w:t>
      </w:r>
      <w:r>
        <w:rPr/>
        <w:t>成本以购买价款的现值为基础确定。</w:t>
      </w:r>
    </w:p>
    <w:p>
      <w:pPr>
        <w:pStyle w:val="BodyText"/>
        <w:spacing w:line="273" w:lineRule="auto"/>
        <w:ind w:left="153" w:right="210" w:firstLine="420"/>
        <w:jc w:val="both"/>
      </w:pPr>
      <w:r>
        <w:rPr>
          <w:spacing w:val="-2"/>
        </w:rPr>
        <w:t>本公司债务重组取得债务人用以抵债的无形资产，以该无形资产的公允价值为基础确定其入账</w:t>
      </w:r>
      <w:r>
        <w:rPr>
          <w:w w:val="100"/>
        </w:rPr>
        <w:t> </w:t>
      </w:r>
      <w:r>
        <w:rPr>
          <w:spacing w:val="-2"/>
        </w:rPr>
        <w:t>价值，并将重组债务的账面价值与该用以抵债的无形资产公允价值之间的差额，计入当期损益；在</w:t>
      </w:r>
      <w:r>
        <w:rPr>
          <w:spacing w:val="-43"/>
        </w:rPr>
        <w:t> </w:t>
      </w:r>
      <w:r>
        <w:rPr>
          <w:spacing w:val="-43"/>
        </w:rPr>
      </w:r>
      <w:r>
        <w:rPr>
          <w:spacing w:val="-2"/>
        </w:rPr>
        <w:t>非货币性资产交换具备商业实质和换入资产或换出资产的公允价值能够可靠计量的前提下，非货币</w:t>
      </w:r>
      <w:r>
        <w:rPr>
          <w:spacing w:val="-42"/>
        </w:rPr>
        <w:t> </w:t>
      </w:r>
      <w:r>
        <w:rPr>
          <w:spacing w:val="-42"/>
        </w:rPr>
      </w:r>
      <w:r>
        <w:rPr>
          <w:spacing w:val="-2"/>
        </w:rPr>
        <w:t>性资产交换换入的无形资产通常以换出资产的公允价值为基础确定其入账价值，除非有确凿证据表</w:t>
      </w:r>
      <w:r>
        <w:rPr>
          <w:spacing w:val="-42"/>
        </w:rPr>
        <w:t> </w:t>
      </w:r>
      <w:r>
        <w:rPr>
          <w:spacing w:val="-42"/>
        </w:rPr>
      </w:r>
      <w:r>
        <w:rPr>
          <w:spacing w:val="-2"/>
        </w:rPr>
        <w:t>明换入资产的公允价值更加可靠；不满足上述前提的非货币性资产交换，以换出资产的账面价值和</w:t>
      </w:r>
      <w:r>
        <w:rPr>
          <w:spacing w:val="-45"/>
        </w:rPr>
        <w:t> </w:t>
      </w:r>
      <w:r>
        <w:rPr>
          <w:spacing w:val="-45"/>
        </w:rPr>
      </w:r>
      <w:r>
        <w:rPr/>
        <w:t>应支付的相关税费作为换入无形资产的成本，不确认损益。</w:t>
      </w:r>
    </w:p>
    <w:p>
      <w:pPr>
        <w:pStyle w:val="BodyText"/>
        <w:spacing w:line="273" w:lineRule="auto"/>
        <w:ind w:left="153" w:right="46" w:firstLine="420"/>
        <w:jc w:val="left"/>
      </w:pPr>
      <w:r>
        <w:rPr>
          <w:spacing w:val="2"/>
        </w:rPr>
        <w:t>本公司以同一控制下的企业吸收合并方式取得的无形资产按被合并方的账面价值确定其入账</w:t>
      </w:r>
      <w:r>
        <w:rPr>
          <w:w w:val="100"/>
        </w:rPr>
        <w:t> </w:t>
      </w:r>
      <w:r>
        <w:rPr/>
        <w:t>价值；以非同一控制下的企业吸收合并方式取得的无形资产按公允价值确定其入账价值。</w:t>
      </w:r>
    </w:p>
    <w:p>
      <w:pPr>
        <w:pStyle w:val="BodyText"/>
        <w:spacing w:line="273" w:lineRule="auto"/>
        <w:ind w:right="46"/>
        <w:jc w:val="left"/>
      </w:pPr>
      <w:r>
        <w:rPr/>
        <w:t>（3）无形资产使用寿命及摊销</w:t>
      </w:r>
      <w:r>
        <w:rPr>
          <w:w w:val="100"/>
        </w:rPr>
        <w:t> </w:t>
      </w:r>
      <w:r>
        <w:rPr>
          <w:spacing w:val="-2"/>
        </w:rPr>
        <w:t>本公司于取得无形资产时分析判断其使用寿命。无形资产的使用寿命为有限的，估计该使用寿</w:t>
      </w:r>
    </w:p>
    <w:p>
      <w:pPr>
        <w:pStyle w:val="BodyText"/>
        <w:spacing w:line="273" w:lineRule="auto"/>
        <w:ind w:left="153" w:right="193"/>
        <w:jc w:val="both"/>
      </w:pPr>
      <w:r>
        <w:rPr>
          <w:spacing w:val="-2"/>
        </w:rPr>
        <w:t>命的年限或者构成使用寿命的产量等类似计量单位数量；无法预见无形资产为企业带来经济利益期</w:t>
      </w:r>
      <w:r>
        <w:rPr>
          <w:spacing w:val="-42"/>
        </w:rPr>
        <w:t> </w:t>
      </w:r>
      <w:r>
        <w:rPr>
          <w:spacing w:val="-42"/>
        </w:rPr>
      </w:r>
      <w:r>
        <w:rPr>
          <w:spacing w:val="-2"/>
        </w:rPr>
        <w:t>限的，视为使用寿命不确定的无形资产。使用寿命有限的无形资产在使用寿命内采用直线法摊销，</w:t>
      </w:r>
      <w:r>
        <w:rPr>
          <w:spacing w:val="-25"/>
        </w:rPr>
        <w:t> </w:t>
      </w:r>
      <w:r>
        <w:rPr>
          <w:spacing w:val="-25"/>
        </w:rPr>
      </w:r>
      <w:r>
        <w:rPr/>
        <w:t>使用寿命不确定的无形资产不予摊销。</w:t>
      </w:r>
    </w:p>
    <w:p>
      <w:pPr>
        <w:pStyle w:val="BodyText"/>
        <w:spacing w:line="273" w:lineRule="auto" w:before="8"/>
        <w:ind w:left="153" w:right="204" w:firstLine="420"/>
        <w:jc w:val="left"/>
      </w:pPr>
      <w:r>
        <w:rPr>
          <w:spacing w:val="-2"/>
        </w:rPr>
        <w:t>本公司报告期内使用寿命有限的无形资产包括土地使用权，使用寿命根据土地使用年限确定为</w:t>
      </w:r>
      <w:r>
        <w:rPr>
          <w:w w:val="100"/>
        </w:rPr>
        <w:t> </w:t>
      </w:r>
      <w:r>
        <w:rPr/>
        <w:t>50</w:t>
      </w:r>
      <w:r>
        <w:rPr>
          <w:spacing w:val="-56"/>
        </w:rPr>
        <w:t> </w:t>
      </w:r>
      <w:r>
        <w:rPr/>
        <w:t>年，在使用寿命内直线法摊销。</w:t>
      </w:r>
    </w:p>
    <w:p>
      <w:pPr>
        <w:pStyle w:val="BodyText"/>
        <w:spacing w:line="273" w:lineRule="auto"/>
        <w:ind w:right="46"/>
        <w:jc w:val="left"/>
      </w:pPr>
      <w:r>
        <w:rPr/>
        <w:t>（4）研究开发费用的会计处理</w:t>
      </w:r>
      <w:r>
        <w:rPr>
          <w:w w:val="100"/>
        </w:rPr>
        <w:t> </w:t>
      </w:r>
      <w:r>
        <w:rPr/>
        <w:t>本公司内部研究开发项目的支出，区分为研究阶段支出与开发阶段支出。</w:t>
      </w:r>
      <w:r>
        <w:rPr>
          <w:w w:val="100"/>
        </w:rPr>
        <w:t> </w:t>
      </w:r>
      <w:r>
        <w:rPr>
          <w:spacing w:val="-2"/>
        </w:rPr>
        <w:t>本公司划分内部研究开发项目研究阶段支出和开发阶段支出的具体标准为：研究阶段支出是指</w:t>
      </w:r>
    </w:p>
    <w:p>
      <w:pPr>
        <w:pStyle w:val="BodyText"/>
        <w:spacing w:line="273" w:lineRule="auto"/>
        <w:ind w:left="153" w:right="193"/>
        <w:jc w:val="both"/>
      </w:pPr>
      <w:r>
        <w:rPr>
          <w:spacing w:val="-2"/>
        </w:rPr>
        <w:t>本公司为获取并理解新的科学或技术知识而进行的独创性的、探索性的有计划调查所发生的支出，</w:t>
      </w:r>
      <w:r>
        <w:rPr>
          <w:spacing w:val="-25"/>
        </w:rPr>
        <w:t> </w:t>
      </w:r>
      <w:r>
        <w:rPr>
          <w:spacing w:val="-25"/>
        </w:rPr>
      </w:r>
      <w:r>
        <w:rPr>
          <w:spacing w:val="-2"/>
        </w:rPr>
        <w:t>是为进一步开发活动进行资料及相关方面的准备，已进行的研究活动将来是否会转入开发、开发后</w:t>
      </w:r>
      <w:r>
        <w:rPr>
          <w:spacing w:val="-43"/>
        </w:rPr>
        <w:t> </w:t>
      </w:r>
      <w:r>
        <w:rPr>
          <w:spacing w:val="-43"/>
        </w:rPr>
      </w:r>
      <w:r>
        <w:rPr>
          <w:spacing w:val="-2"/>
        </w:rPr>
        <w:t>是否会形成无形资产等均具有较大的不确定性；开发阶段支出是指在进行商业性生产或使用前，将</w:t>
      </w:r>
      <w:r>
        <w:rPr>
          <w:spacing w:val="-43"/>
        </w:rPr>
        <w:t> </w:t>
      </w:r>
      <w:r>
        <w:rPr>
          <w:spacing w:val="-43"/>
        </w:rPr>
      </w:r>
      <w:r>
        <w:rPr>
          <w:spacing w:val="-2"/>
        </w:rPr>
        <w:t>研究成果或其他知识应用于某项计划或设计，以生产出新的或具有实质性改进的材料、装置、产品</w:t>
      </w:r>
      <w:r>
        <w:rPr>
          <w:spacing w:val="-43"/>
        </w:rPr>
        <w:t> </w:t>
      </w:r>
      <w:r>
        <w:rPr>
          <w:spacing w:val="-43"/>
        </w:rPr>
      </w:r>
      <w:r>
        <w:rPr>
          <w:spacing w:val="-2"/>
        </w:rPr>
        <w:t>等所发生的支出。相对于研究阶段而言，开发阶段是已完成研究阶段的工作，在很大程度上具备了</w:t>
      </w:r>
      <w:r>
        <w:rPr>
          <w:spacing w:val="-46"/>
        </w:rPr>
        <w:t> </w:t>
      </w:r>
      <w:r>
        <w:rPr>
          <w:spacing w:val="-46"/>
        </w:rPr>
      </w:r>
      <w:r>
        <w:rPr/>
        <w:t>形成一项新产品或新技术的基本条件。</w:t>
      </w:r>
    </w:p>
    <w:p>
      <w:pPr>
        <w:pStyle w:val="BodyText"/>
        <w:spacing w:line="240" w:lineRule="auto" w:before="8"/>
        <w:ind w:right="46"/>
        <w:jc w:val="left"/>
      </w:pPr>
      <w:r>
        <w:rPr>
          <w:spacing w:val="-5"/>
        </w:rPr>
        <w:t>研究阶段支出，于发生时计入当期损益；开发阶段支出，同时满足下列条件时确认为无形资产：</w:t>
      </w:r>
    </w:p>
    <w:p>
      <w:pPr>
        <w:pStyle w:val="BodyText"/>
        <w:spacing w:line="240" w:lineRule="auto" w:before="37"/>
        <w:ind w:right="46"/>
        <w:jc w:val="left"/>
      </w:pPr>
      <w:r>
        <w:rPr/>
        <w:t>①完成该无形资产以使其能够使用或出售在技术上具有可行性；</w:t>
      </w:r>
    </w:p>
    <w:p>
      <w:pPr>
        <w:pStyle w:val="BodyText"/>
        <w:spacing w:line="240" w:lineRule="auto" w:before="37"/>
        <w:ind w:right="46"/>
        <w:jc w:val="left"/>
      </w:pPr>
      <w:r>
        <w:rPr/>
        <w:t>②具有完成该无形资产并使用或出售的意图；</w:t>
      </w:r>
    </w:p>
    <w:p>
      <w:pPr>
        <w:pStyle w:val="BodyText"/>
        <w:spacing w:line="273" w:lineRule="auto" w:before="37"/>
        <w:ind w:left="153" w:right="46" w:firstLine="420"/>
        <w:jc w:val="left"/>
      </w:pPr>
      <w:r>
        <w:rPr>
          <w:spacing w:val="-2"/>
        </w:rPr>
        <w:t>③无形资产产生经济利益的方式，包括能够证明运用该无形资产生产的产品存在市场或无形资</w:t>
      </w:r>
      <w:r>
        <w:rPr>
          <w:w w:val="100"/>
        </w:rPr>
        <w:t> </w:t>
      </w:r>
      <w:r>
        <w:rPr/>
        <w:t>产自身存在市场，无形资产将在内部使用的，能够证明其有用性；</w:t>
      </w:r>
    </w:p>
    <w:p>
      <w:pPr>
        <w:pStyle w:val="BodyText"/>
        <w:spacing w:line="273" w:lineRule="auto"/>
        <w:ind w:left="153" w:right="46" w:firstLine="420"/>
        <w:jc w:val="left"/>
      </w:pPr>
      <w:r>
        <w:rPr>
          <w:spacing w:val="-2"/>
        </w:rPr>
        <w:t>④有足够的技术、财务资源和其他资源支持，以完成该无形资产的开发，并有能力使用或出售</w:t>
      </w:r>
      <w:r>
        <w:rPr>
          <w:w w:val="100"/>
        </w:rPr>
        <w:t> </w:t>
      </w:r>
      <w:r>
        <w:rPr/>
        <w:t>该无形资产；</w:t>
      </w:r>
    </w:p>
    <w:p>
      <w:pPr>
        <w:pStyle w:val="BodyText"/>
        <w:spacing w:line="240" w:lineRule="auto" w:before="8"/>
        <w:ind w:right="46"/>
        <w:jc w:val="left"/>
      </w:pPr>
      <w:r>
        <w:rPr/>
        <w:t>⑤归属于该无形资产开发阶段的支出能够可靠地计量。</w:t>
      </w:r>
    </w:p>
    <w:p>
      <w:pPr>
        <w:spacing w:after="0" w:line="240" w:lineRule="auto"/>
        <w:jc w:val="left"/>
        <w:sectPr>
          <w:footerReference w:type="default" r:id="rId62"/>
          <w:pgSz w:w="11910" w:h="16840"/>
          <w:pgMar w:footer="1219" w:header="884" w:top="1140" w:bottom="1400" w:left="1320" w:right="1200"/>
        </w:sectPr>
      </w:pPr>
    </w:p>
    <w:p>
      <w:pPr>
        <w:pStyle w:val="BodyText"/>
        <w:spacing w:line="273" w:lineRule="auto" w:before="131"/>
        <w:ind w:left="153" w:right="210" w:firstLine="420"/>
        <w:jc w:val="both"/>
      </w:pPr>
      <w:r>
        <w:rPr>
          <w:spacing w:val="-2"/>
        </w:rPr>
        <w:t>归属于该无形资产开发阶段的支出使用寿命有限的，按该无形资产使用寿命的年限采用直线法</w:t>
      </w:r>
      <w:r>
        <w:rPr>
          <w:w w:val="100"/>
        </w:rPr>
        <w:t> </w:t>
      </w:r>
      <w:r>
        <w:rPr/>
        <w:t>进行摊销；使用寿命不确定的，不予摊销。</w:t>
      </w:r>
    </w:p>
    <w:p>
      <w:pPr>
        <w:spacing w:line="259" w:lineRule="auto" w:before="77"/>
        <w:ind w:left="573" w:right="3345" w:firstLine="2"/>
        <w:jc w:val="left"/>
        <w:rPr>
          <w:rFonts w:ascii="宋体" w:hAnsi="宋体" w:cs="宋体" w:eastAsia="宋体" w:hint="default"/>
          <w:sz w:val="21"/>
          <w:szCs w:val="21"/>
        </w:rPr>
      </w:pPr>
      <w:r>
        <w:rPr>
          <w:rFonts w:ascii="宋体" w:hAnsi="宋体" w:cs="宋体" w:eastAsia="宋体" w:hint="default"/>
          <w:b/>
          <w:bCs/>
          <w:sz w:val="21"/>
          <w:szCs w:val="21"/>
        </w:rPr>
        <w:t>17、长期待摊费用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长期待摊费用在受益期内平均摊销，其中：</w:t>
      </w:r>
    </w:p>
    <w:p>
      <w:pPr>
        <w:pStyle w:val="BodyText"/>
        <w:spacing w:line="273" w:lineRule="auto" w:before="20"/>
        <w:ind w:right="46"/>
        <w:jc w:val="left"/>
      </w:pPr>
      <w:r>
        <w:rPr/>
        <w:t>预付经营租入固定资产的租金，按租赁合同规定的期限平均摊销。</w:t>
      </w:r>
      <w:r>
        <w:rPr>
          <w:w w:val="100"/>
        </w:rPr>
        <w:t> </w:t>
      </w:r>
      <w:r>
        <w:rPr>
          <w:spacing w:val="-2"/>
        </w:rPr>
        <w:t>经营租赁方式租入的固定资产改良支出，按剩余租赁期与租赁资产尚可使用年限两者中较短的</w:t>
      </w:r>
    </w:p>
    <w:p>
      <w:pPr>
        <w:pStyle w:val="BodyText"/>
        <w:spacing w:line="273" w:lineRule="auto"/>
        <w:ind w:right="46" w:hanging="421"/>
        <w:jc w:val="left"/>
      </w:pPr>
      <w:r>
        <w:rPr/>
        <w:t>期限平均摊销。</w:t>
      </w:r>
      <w:r>
        <w:rPr>
          <w:spacing w:val="-103"/>
        </w:rPr>
        <w:t> </w:t>
      </w:r>
      <w:r>
        <w:rPr>
          <w:spacing w:val="-103"/>
        </w:rPr>
      </w:r>
      <w:r>
        <w:rPr>
          <w:spacing w:val="-2"/>
        </w:rPr>
        <w:t>融资租赁方式租入的固定资产的符合资本化条件的装修费用，按两次装修间隔期间、剩余租赁</w:t>
      </w:r>
    </w:p>
    <w:p>
      <w:pPr>
        <w:spacing w:line="333" w:lineRule="auto" w:before="7"/>
        <w:ind w:left="575" w:right="3345" w:hanging="423"/>
        <w:jc w:val="left"/>
        <w:rPr>
          <w:rFonts w:ascii="宋体" w:hAnsi="宋体" w:cs="宋体" w:eastAsia="宋体" w:hint="default"/>
          <w:sz w:val="21"/>
          <w:szCs w:val="21"/>
        </w:rPr>
      </w:pPr>
      <w:r>
        <w:rPr>
          <w:rFonts w:ascii="宋体" w:hAnsi="宋体" w:cs="宋体" w:eastAsia="宋体" w:hint="default"/>
          <w:spacing w:val="-2"/>
          <w:sz w:val="21"/>
          <w:szCs w:val="21"/>
        </w:rPr>
        <w:t>期与固定资产尚可使用年限三者中较短的期限平均摊销。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18、长期资产减值</w:t>
      </w:r>
      <w:r>
        <w:rPr>
          <w:rFonts w:ascii="宋体" w:hAnsi="宋体" w:cs="宋体" w:eastAsia="宋体" w:hint="default"/>
          <w:sz w:val="21"/>
          <w:szCs w:val="21"/>
        </w:rPr>
      </w:r>
    </w:p>
    <w:p>
      <w:pPr>
        <w:pStyle w:val="BodyText"/>
        <w:spacing w:line="213" w:lineRule="exact" w:before="0"/>
        <w:ind w:left="153" w:right="0" w:firstLine="420"/>
        <w:jc w:val="both"/>
      </w:pPr>
      <w:r>
        <w:rPr/>
        <w:t>对于固定资产、在建工程、使用寿命有限的无形资产、以成本模式计量的投资性房地产及对子</w:t>
      </w:r>
    </w:p>
    <w:p>
      <w:pPr>
        <w:pStyle w:val="BodyText"/>
        <w:spacing w:line="273" w:lineRule="auto" w:before="37"/>
        <w:ind w:left="153" w:right="212"/>
        <w:jc w:val="both"/>
      </w:pPr>
      <w:r>
        <w:rPr>
          <w:spacing w:val="-2"/>
        </w:rPr>
        <w:t>公司、合营企业、联营企业的长期股权投资等非流动非金融资产，本公司于资产负债表日判断是否</w:t>
      </w:r>
      <w:r>
        <w:rPr>
          <w:spacing w:val="-46"/>
        </w:rPr>
        <w:t> </w:t>
      </w:r>
      <w:r>
        <w:rPr>
          <w:spacing w:val="-46"/>
        </w:rPr>
      </w:r>
      <w:r>
        <w:rPr>
          <w:spacing w:val="-2"/>
        </w:rPr>
        <w:t>存在减值迹象。如存在减值迹象的，则估计其可收回金额，进行减值测试。商誉、使用寿命不确定</w:t>
      </w:r>
      <w:r>
        <w:rPr>
          <w:spacing w:val="-47"/>
        </w:rPr>
        <w:t> </w:t>
      </w:r>
      <w:r>
        <w:rPr>
          <w:spacing w:val="-47"/>
        </w:rPr>
      </w:r>
      <w:r>
        <w:rPr/>
        <w:t>的无形资产和尚未达到可使用状态的无形资产，无论是否存在减值迹象，每年均进行减值测试。</w:t>
      </w:r>
    </w:p>
    <w:p>
      <w:pPr>
        <w:pStyle w:val="BodyText"/>
        <w:spacing w:line="273" w:lineRule="auto"/>
        <w:ind w:left="153" w:right="210" w:firstLine="420"/>
        <w:jc w:val="both"/>
      </w:pPr>
      <w:r>
        <w:rPr>
          <w:spacing w:val="-2"/>
        </w:rPr>
        <w:t>减值测试结果表明资产的可收回金额低于其账面价值的，按其差额计提减值准备并计入减值损</w:t>
      </w:r>
      <w:r>
        <w:rPr>
          <w:w w:val="100"/>
        </w:rPr>
        <w:t> </w:t>
      </w:r>
      <w:r>
        <w:rPr>
          <w:spacing w:val="-2"/>
        </w:rPr>
        <w:t>失。可收回金额为资产的公允价值减去处置费用后的净额与资产预计未来现金流量的现值两者之间</w:t>
      </w:r>
      <w:r>
        <w:rPr>
          <w:spacing w:val="-42"/>
        </w:rPr>
        <w:t> </w:t>
      </w:r>
      <w:r>
        <w:rPr>
          <w:spacing w:val="-42"/>
        </w:rPr>
      </w:r>
      <w:r>
        <w:rPr>
          <w:spacing w:val="-2"/>
        </w:rPr>
        <w:t>的较高者。资产的公允价值根据公平交易中销售协议价格确定；不存在销售协议但存在资产活跃市</w:t>
      </w:r>
      <w:r>
        <w:rPr>
          <w:spacing w:val="-46"/>
        </w:rPr>
        <w:t> </w:t>
      </w:r>
      <w:r>
        <w:rPr>
          <w:spacing w:val="-46"/>
        </w:rPr>
      </w:r>
      <w:r>
        <w:rPr>
          <w:spacing w:val="-2"/>
        </w:rPr>
        <w:t>场的，公允价值按照该资产的买方出价确定；不存在销售协议和资产活跃市场的，则以可获取的最</w:t>
      </w:r>
      <w:r>
        <w:rPr>
          <w:spacing w:val="-46"/>
        </w:rPr>
        <w:t> </w:t>
      </w:r>
      <w:r>
        <w:rPr>
          <w:spacing w:val="-46"/>
        </w:rPr>
      </w:r>
      <w:r>
        <w:rPr>
          <w:spacing w:val="-2"/>
        </w:rPr>
        <w:t>佳信息为基础估计资产的公允价值。处置费用包括与资产处置有关的法律费用、相关税费、搬运费</w:t>
      </w:r>
      <w:r>
        <w:rPr>
          <w:spacing w:val="-43"/>
        </w:rPr>
        <w:t> </w:t>
      </w:r>
      <w:r>
        <w:rPr>
          <w:spacing w:val="-43"/>
        </w:rPr>
      </w:r>
      <w:r>
        <w:rPr>
          <w:spacing w:val="-2"/>
        </w:rPr>
        <w:t>以及为使资产达到可销售状态所发生的直接费用。资产预计未来现金流量的现值，按照资产在持续</w:t>
      </w:r>
      <w:r>
        <w:rPr>
          <w:spacing w:val="-43"/>
        </w:rPr>
        <w:t> </w:t>
      </w:r>
      <w:r>
        <w:rPr>
          <w:spacing w:val="-43"/>
        </w:rPr>
      </w:r>
      <w:r>
        <w:rPr>
          <w:spacing w:val="-2"/>
        </w:rPr>
        <w:t>使用过程中和最终处置时所产生的预计未来现金流量，选择恰当的折现率对其进行折现后的金额加</w:t>
      </w:r>
      <w:r>
        <w:rPr>
          <w:spacing w:val="-42"/>
        </w:rPr>
        <w:t> </w:t>
      </w:r>
      <w:r>
        <w:rPr>
          <w:spacing w:val="-42"/>
        </w:rPr>
      </w:r>
      <w:r>
        <w:rPr>
          <w:spacing w:val="-2"/>
        </w:rPr>
        <w:t>以确定。资产减值准备按单项资产为基础计算并确认，如果难以对单项资产的可收回金额进行估计</w:t>
      </w:r>
      <w:r>
        <w:rPr>
          <w:spacing w:val="-45"/>
        </w:rPr>
        <w:t> </w:t>
      </w:r>
      <w:r>
        <w:rPr>
          <w:spacing w:val="-45"/>
        </w:rPr>
      </w:r>
      <w:r>
        <w:rPr>
          <w:spacing w:val="-2"/>
        </w:rPr>
        <w:t>的，以该资产所属的资产组确定资产组的可收回金额。资产组是能够独立产生现金流入的最小资产</w:t>
      </w:r>
      <w:r>
        <w:rPr>
          <w:spacing w:val="-45"/>
        </w:rPr>
        <w:t> </w:t>
      </w:r>
      <w:r>
        <w:rPr>
          <w:spacing w:val="-45"/>
        </w:rPr>
      </w:r>
      <w:r>
        <w:rPr/>
        <w:t>组合。</w:t>
      </w:r>
    </w:p>
    <w:p>
      <w:pPr>
        <w:pStyle w:val="BodyText"/>
        <w:spacing w:line="273" w:lineRule="auto"/>
        <w:ind w:left="153" w:right="210" w:firstLine="420"/>
        <w:jc w:val="both"/>
      </w:pPr>
      <w:r>
        <w:rPr>
          <w:spacing w:val="-2"/>
        </w:rPr>
        <w:t>在财务报表中单独列示的商誉，在进行减值测试时，将商誉的账面价值分摊至预期从企业合并</w:t>
      </w:r>
      <w:r>
        <w:rPr>
          <w:w w:val="100"/>
        </w:rPr>
        <w:t> </w:t>
      </w:r>
      <w:r>
        <w:rPr>
          <w:spacing w:val="-2"/>
        </w:rPr>
        <w:t>的协同效应中受益的资产组或资产组组合。测试结果表明包含分摊的商誉的资产组或资产组组合的</w:t>
      </w:r>
      <w:r>
        <w:rPr>
          <w:spacing w:val="-42"/>
        </w:rPr>
        <w:t> </w:t>
      </w:r>
      <w:r>
        <w:rPr>
          <w:spacing w:val="-42"/>
        </w:rPr>
      </w:r>
      <w:r>
        <w:rPr>
          <w:spacing w:val="-2"/>
        </w:rPr>
        <w:t>可收回金额低于其账面价值的，确认相应的减值损失。减值损失金额先抵减分摊至该资产组或资产</w:t>
      </w:r>
      <w:r>
        <w:rPr>
          <w:spacing w:val="-46"/>
        </w:rPr>
        <w:t> </w:t>
      </w:r>
      <w:r>
        <w:rPr>
          <w:spacing w:val="-46"/>
        </w:rPr>
      </w:r>
      <w:r>
        <w:rPr>
          <w:spacing w:val="-2"/>
        </w:rPr>
        <w:t>组组合的商誉的账面价值，再根据资产组或资产组组合中除商誉以外的其他各项资产的账面价值所</w:t>
      </w:r>
      <w:r>
        <w:rPr>
          <w:spacing w:val="-42"/>
        </w:rPr>
        <w:t> </w:t>
      </w:r>
      <w:r>
        <w:rPr>
          <w:spacing w:val="-42"/>
        </w:rPr>
      </w:r>
      <w:r>
        <w:rPr/>
        <w:t>占比重，按比例抵减其他各项资产的账面价值。</w:t>
      </w:r>
    </w:p>
    <w:p>
      <w:pPr>
        <w:pStyle w:val="BodyText"/>
        <w:spacing w:line="333" w:lineRule="auto" w:before="8"/>
        <w:ind w:left="575" w:right="2112" w:hanging="3"/>
        <w:jc w:val="left"/>
        <w:rPr>
          <w:rFonts w:ascii="宋体" w:hAnsi="宋体" w:cs="宋体" w:eastAsia="宋体" w:hint="default"/>
        </w:rPr>
      </w:pPr>
      <w:r>
        <w:rPr>
          <w:spacing w:val="-2"/>
        </w:rPr>
        <w:t>上述资产减值损失一经确认，以后期间不予转回价值得以恢复的部分。</w:t>
      </w:r>
      <w:r>
        <w:rPr>
          <w:spacing w:val="-46"/>
        </w:rPr>
        <w:t> </w:t>
      </w:r>
      <w:r>
        <w:rPr>
          <w:spacing w:val="-46"/>
        </w:rPr>
      </w:r>
      <w:r>
        <w:rPr>
          <w:rFonts w:ascii="宋体" w:hAnsi="宋体" w:cs="宋体" w:eastAsia="宋体" w:hint="default"/>
          <w:b/>
          <w:bCs/>
        </w:rPr>
        <w:t>19、职工薪酬</w:t>
      </w:r>
      <w:r>
        <w:rPr>
          <w:rFonts w:ascii="宋体" w:hAnsi="宋体" w:cs="宋体" w:eastAsia="宋体" w:hint="default"/>
        </w:rPr>
      </w:r>
    </w:p>
    <w:p>
      <w:pPr>
        <w:pStyle w:val="BodyText"/>
        <w:spacing w:line="213" w:lineRule="exact" w:before="0"/>
        <w:ind w:right="46"/>
        <w:jc w:val="left"/>
      </w:pPr>
      <w:r>
        <w:rPr/>
        <w:t>本公司职工薪酬主要包括短期职工薪酬、离职后福利、辞退福利和其他长期职工薪酬。</w:t>
      </w:r>
    </w:p>
    <w:p>
      <w:pPr>
        <w:pStyle w:val="BodyText"/>
        <w:spacing w:line="273" w:lineRule="auto" w:before="37"/>
        <w:ind w:left="153" w:right="102" w:firstLine="420"/>
        <w:jc w:val="left"/>
      </w:pPr>
      <w:r>
        <w:rPr/>
        <w:t>其中：</w:t>
      </w:r>
      <w:r>
        <w:rPr>
          <w:spacing w:val="-25"/>
        </w:rPr>
        <w:t> </w:t>
      </w:r>
      <w:r>
        <w:rPr/>
        <w:t>短期薪酬主要包括工资、奖金、津贴和补贴、职工福利费、医疗保险费、生育保险费、</w:t>
      </w:r>
      <w:r>
        <w:rPr>
          <w:w w:val="100"/>
        </w:rPr>
        <w:t> </w:t>
      </w:r>
      <w:r>
        <w:rPr/>
        <w:t>工伤保险费、住房公积金、工会经费和职工教育经费、非货币性福利等。本公司在职工为本公司提</w:t>
      </w:r>
      <w:r>
        <w:rPr>
          <w:w w:val="100"/>
        </w:rPr>
        <w:t> </w:t>
      </w:r>
      <w:r>
        <w:rPr/>
        <w:t>供服务的会计期间将实际发生的短期职工薪酬确认为负债，并计入当期损益或相关资产成本。其中</w:t>
      </w:r>
      <w:r>
        <w:rPr>
          <w:w w:val="100"/>
        </w:rPr>
        <w:t> </w:t>
      </w:r>
      <w:r>
        <w:rPr/>
        <w:t>非货币性福利按公允价值计量。</w:t>
      </w:r>
    </w:p>
    <w:p>
      <w:pPr>
        <w:pStyle w:val="BodyText"/>
        <w:spacing w:line="273" w:lineRule="auto"/>
        <w:ind w:left="153" w:right="212" w:firstLine="420"/>
        <w:jc w:val="both"/>
      </w:pPr>
      <w:r>
        <w:rPr>
          <w:spacing w:val="-2"/>
        </w:rPr>
        <w:t>离职后福利主要包括设定提存计划。设定提存计划主要包括基本养老保险、失业保险，相应的</w:t>
      </w:r>
      <w:r>
        <w:rPr>
          <w:w w:val="100"/>
        </w:rPr>
        <w:t> </w:t>
      </w:r>
      <w:r>
        <w:rPr/>
        <w:t>应缴存金额于发生时计入相关资产成本或当期损益。</w:t>
      </w:r>
    </w:p>
    <w:p>
      <w:pPr>
        <w:pStyle w:val="BodyText"/>
        <w:spacing w:line="273" w:lineRule="auto"/>
        <w:ind w:left="153" w:right="210" w:firstLine="420"/>
        <w:jc w:val="both"/>
      </w:pPr>
      <w:r>
        <w:rPr>
          <w:spacing w:val="-2"/>
        </w:rPr>
        <w:t>在职工劳动合同到期之前解除与职工的劳动关系，或为鼓励职工自愿接受裁减而提出给予补偿</w:t>
      </w:r>
      <w:r>
        <w:rPr>
          <w:w w:val="100"/>
        </w:rPr>
        <w:t> </w:t>
      </w:r>
      <w:r>
        <w:rPr>
          <w:spacing w:val="-2"/>
        </w:rPr>
        <w:t>的建议，在本公司不能单方面撤回因解除劳动关系计划或裁减建议所提供的辞退福利时，和本公司</w:t>
      </w:r>
      <w:r>
        <w:rPr>
          <w:spacing w:val="-42"/>
        </w:rPr>
        <w:t> </w:t>
      </w:r>
      <w:r>
        <w:rPr>
          <w:spacing w:val="-42"/>
        </w:rPr>
      </w:r>
      <w:r>
        <w:rPr>
          <w:spacing w:val="-2"/>
        </w:rPr>
        <w:t>确认与涉及支付辞退福利的重组相关的成本两者孰早日，确认辞退福利产生的职工薪酬负债，并计</w:t>
      </w:r>
      <w:r>
        <w:rPr>
          <w:spacing w:val="-43"/>
        </w:rPr>
        <w:t> </w:t>
      </w:r>
      <w:r>
        <w:rPr>
          <w:spacing w:val="-43"/>
        </w:rPr>
      </w:r>
      <w:r>
        <w:rPr>
          <w:spacing w:val="-2"/>
        </w:rPr>
        <w:t>入当期损益。但辞退福利预期在年度报告期结束后十二个月不能完全支付的，按照其他长期职工薪</w:t>
      </w:r>
      <w:r>
        <w:rPr>
          <w:spacing w:val="-43"/>
        </w:rPr>
        <w:t> </w:t>
      </w:r>
      <w:r>
        <w:rPr>
          <w:spacing w:val="-43"/>
        </w:rPr>
      </w:r>
      <w:r>
        <w:rPr/>
        <w:t>酬处理。</w:t>
      </w:r>
    </w:p>
    <w:p>
      <w:pPr>
        <w:pStyle w:val="BodyText"/>
        <w:spacing w:line="240" w:lineRule="auto"/>
        <w:ind w:left="679" w:right="46"/>
        <w:jc w:val="left"/>
      </w:pPr>
      <w:r>
        <w:rPr/>
        <w:t>职工内部退休计划采用上述辞退福利相同的原则处理。本公司将自职工停止提供服务日至正</w:t>
      </w:r>
    </w:p>
    <w:p>
      <w:pPr>
        <w:spacing w:after="0" w:line="240" w:lineRule="auto"/>
        <w:jc w:val="left"/>
        <w:sectPr>
          <w:footerReference w:type="default" r:id="rId63"/>
          <w:pgSz w:w="11910" w:h="16840"/>
          <w:pgMar w:footer="1219" w:header="884" w:top="1140" w:bottom="1400" w:left="1320" w:right="1200"/>
          <w:pgNumType w:start="91"/>
        </w:sectPr>
      </w:pPr>
    </w:p>
    <w:p>
      <w:pPr>
        <w:pStyle w:val="BodyText"/>
        <w:spacing w:line="273" w:lineRule="auto" w:before="131"/>
        <w:ind w:left="153" w:right="130"/>
        <w:jc w:val="both"/>
      </w:pPr>
      <w:r>
        <w:rPr>
          <w:spacing w:val="-2"/>
        </w:rPr>
        <w:t>常退休日的期间拟支付的内退人员工资和缴纳的社会保险费等，在符合预计负债确认条件时，计入</w:t>
      </w:r>
      <w:r>
        <w:rPr>
          <w:spacing w:val="-42"/>
        </w:rPr>
        <w:t> </w:t>
      </w:r>
      <w:r>
        <w:rPr>
          <w:spacing w:val="-42"/>
        </w:rPr>
      </w:r>
      <w:r>
        <w:rPr>
          <w:spacing w:val="-11"/>
          <w:w w:val="100"/>
        </w:rPr>
        <w:t>当期损益（辞退福利）。</w:t>
      </w:r>
    </w:p>
    <w:p>
      <w:pPr>
        <w:pStyle w:val="BodyText"/>
        <w:spacing w:line="273" w:lineRule="auto"/>
        <w:ind w:left="153" w:right="0" w:firstLine="420"/>
        <w:jc w:val="left"/>
      </w:pPr>
      <w:r>
        <w:rPr>
          <w:spacing w:val="-2"/>
        </w:rPr>
        <w:t>本公司向职工提供的其他长期职工福利，符合设定提存计划的，按照设定提存计划进行会计处</w:t>
      </w:r>
      <w:r>
        <w:rPr>
          <w:w w:val="100"/>
        </w:rPr>
        <w:t> </w:t>
      </w:r>
      <w:r>
        <w:rPr/>
        <w:t>理，除此之外按照设定收益计划进行会计处理。</w:t>
      </w:r>
    </w:p>
    <w:p>
      <w:pPr>
        <w:pStyle w:val="BodyText"/>
        <w:spacing w:line="259" w:lineRule="auto" w:before="77"/>
        <w:ind w:right="0" w:firstLine="2"/>
        <w:jc w:val="left"/>
      </w:pPr>
      <w:r>
        <w:rPr>
          <w:rFonts w:ascii="宋体" w:hAnsi="宋体" w:cs="宋体" w:eastAsia="宋体" w:hint="default"/>
          <w:b/>
          <w:bCs/>
        </w:rPr>
        <w:t>20、预计负债</w:t>
      </w:r>
      <w:r>
        <w:rPr>
          <w:rFonts w:ascii="宋体" w:hAnsi="宋体" w:cs="宋体" w:eastAsia="宋体" w:hint="default"/>
          <w:b/>
          <w:bCs/>
          <w:w w:val="100"/>
        </w:rPr>
        <w:t> </w:t>
      </w:r>
      <w:r>
        <w:rPr>
          <w:spacing w:val="-5"/>
          <w:w w:val="100"/>
        </w:rPr>
        <w:t>当与或有事项相关的义务同时符合以下条件，确认为预计负债：（1）该义务是本公司承担的现</w:t>
      </w:r>
    </w:p>
    <w:p>
      <w:pPr>
        <w:pStyle w:val="BodyText"/>
        <w:spacing w:line="273" w:lineRule="auto" w:before="20"/>
        <w:ind w:left="679" w:right="0" w:hanging="526"/>
        <w:jc w:val="left"/>
      </w:pPr>
      <w:r>
        <w:rPr>
          <w:spacing w:val="-7"/>
          <w:w w:val="100"/>
        </w:rPr>
        <w:t>时义务；（2）履行该义务很可能导致经济利益流出；（3）该义务的金额能够可靠地计量。</w:t>
      </w:r>
      <w:r>
        <w:rPr>
          <w:spacing w:val="-84"/>
          <w:w w:val="100"/>
        </w:rPr>
        <w:t> </w:t>
      </w:r>
      <w:r>
        <w:rPr>
          <w:spacing w:val="-84"/>
          <w:w w:val="100"/>
        </w:rPr>
      </w:r>
      <w:r>
        <w:rPr/>
        <w:t>在资产负债表日，考虑与或有事项有关的风险、不确定性和货币时间价值等因素，按照履行</w:t>
      </w:r>
    </w:p>
    <w:p>
      <w:pPr>
        <w:pStyle w:val="BodyText"/>
        <w:spacing w:line="273" w:lineRule="auto"/>
        <w:ind w:right="0" w:hanging="421"/>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333" w:lineRule="auto"/>
        <w:ind w:left="575" w:right="2071" w:hanging="423"/>
        <w:jc w:val="left"/>
        <w:rPr>
          <w:rFonts w:ascii="宋体" w:hAnsi="宋体" w:cs="宋体" w:eastAsia="宋体" w:hint="default"/>
        </w:rPr>
      </w:pPr>
      <w:r>
        <w:rPr>
          <w:spacing w:val="-2"/>
        </w:rPr>
        <w:t>时，作为资产单独确认，且确认的补偿金额不超过预计负债的账面价值。</w:t>
      </w:r>
      <w:r>
        <w:rPr>
          <w:spacing w:val="-45"/>
        </w:rPr>
        <w:t> </w:t>
      </w:r>
      <w:r>
        <w:rPr>
          <w:spacing w:val="-45"/>
        </w:rPr>
      </w:r>
      <w:r>
        <w:rPr>
          <w:rFonts w:ascii="宋体" w:hAnsi="宋体" w:cs="宋体" w:eastAsia="宋体" w:hint="default"/>
          <w:b/>
          <w:bCs/>
        </w:rPr>
        <w:t>21、收入</w:t>
      </w:r>
      <w:r>
        <w:rPr>
          <w:rFonts w:ascii="宋体" w:hAnsi="宋体" w:cs="宋体" w:eastAsia="宋体" w:hint="default"/>
        </w:rPr>
      </w:r>
    </w:p>
    <w:p>
      <w:pPr>
        <w:pStyle w:val="BodyText"/>
        <w:spacing w:line="213" w:lineRule="exact" w:before="0"/>
        <w:ind w:right="0"/>
        <w:jc w:val="left"/>
      </w:pPr>
      <w:r>
        <w:rPr/>
        <w:t>（1）电信服务收入</w:t>
      </w:r>
    </w:p>
    <w:p>
      <w:pPr>
        <w:pStyle w:val="BodyText"/>
        <w:spacing w:line="273" w:lineRule="auto" w:before="37"/>
        <w:ind w:right="0"/>
        <w:jc w:val="left"/>
      </w:pPr>
      <w:r>
        <w:rPr/>
        <w:t>①行业短信收入</w:t>
      </w:r>
      <w:r>
        <w:rPr>
          <w:spacing w:val="-103"/>
        </w:rPr>
        <w:t> </w:t>
      </w:r>
      <w:r>
        <w:rPr>
          <w:spacing w:val="-103"/>
        </w:rPr>
      </w:r>
      <w:r>
        <w:rPr>
          <w:spacing w:val="-2"/>
        </w:rPr>
        <w:t>公司系统收到客户提交的短信，内部审核符合国家法律法规规定，将其提交到移动通信运营商</w:t>
      </w:r>
    </w:p>
    <w:p>
      <w:pPr>
        <w:pStyle w:val="BodyText"/>
        <w:spacing w:line="240" w:lineRule="auto" w:before="8"/>
        <w:ind w:left="153" w:right="0"/>
        <w:jc w:val="left"/>
      </w:pPr>
      <w:r>
        <w:rPr/>
        <w:t>平台后确认收入。</w:t>
      </w:r>
    </w:p>
    <w:p>
      <w:pPr>
        <w:pStyle w:val="BodyText"/>
        <w:spacing w:line="273" w:lineRule="auto" w:before="37"/>
        <w:ind w:right="0"/>
        <w:jc w:val="left"/>
      </w:pPr>
      <w:r>
        <w:rPr/>
        <w:t>②运营商业务酬金收入</w:t>
      </w:r>
      <w:r>
        <w:rPr>
          <w:w w:val="100"/>
        </w:rPr>
        <w:t> </w:t>
      </w:r>
      <w:r>
        <w:rPr>
          <w:spacing w:val="-2"/>
        </w:rPr>
        <w:t>公司根据与移动通信运营商的合作协议，按约定比例获取业务酬金，于结算时确认收入。</w:t>
      </w:r>
    </w:p>
    <w:p>
      <w:pPr>
        <w:pStyle w:val="BodyText"/>
        <w:spacing w:line="240" w:lineRule="auto" w:before="8"/>
        <w:ind w:right="0"/>
        <w:jc w:val="left"/>
      </w:pPr>
      <w:r>
        <w:rPr/>
        <w:t>（2）通信网络维护服务收入、通信网络优化服务收入</w:t>
      </w:r>
    </w:p>
    <w:p>
      <w:pPr>
        <w:pStyle w:val="BodyText"/>
        <w:spacing w:line="273" w:lineRule="auto" w:before="37"/>
        <w:ind w:right="0"/>
        <w:jc w:val="left"/>
      </w:pPr>
      <w:r>
        <w:rPr/>
        <w:t>①通信网络维护收入</w:t>
      </w:r>
      <w:r>
        <w:rPr>
          <w:w w:val="100"/>
        </w:rPr>
        <w:t> </w:t>
      </w:r>
      <w:r>
        <w:rPr>
          <w:spacing w:val="-2"/>
        </w:rPr>
        <w:t>通信网络维护服务收入主要包括提供通信网络线路、设备、基站及附属设施的日常维护、故障</w:t>
      </w:r>
    </w:p>
    <w:p>
      <w:pPr>
        <w:pStyle w:val="BodyText"/>
        <w:spacing w:line="273" w:lineRule="auto"/>
        <w:ind w:left="153" w:right="130"/>
        <w:jc w:val="both"/>
      </w:pPr>
      <w:r>
        <w:rPr>
          <w:spacing w:val="-2"/>
        </w:rPr>
        <w:t>处理、终端安装、及基站设备调整、扩容等重复性的相关服务；对因各种突发原因造成的通信网络</w:t>
      </w:r>
      <w:r>
        <w:rPr>
          <w:spacing w:val="-45"/>
        </w:rPr>
        <w:t> </w:t>
      </w:r>
      <w:r>
        <w:rPr>
          <w:spacing w:val="-45"/>
        </w:rPr>
      </w:r>
      <w:r>
        <w:rPr>
          <w:spacing w:val="-2"/>
        </w:rPr>
        <w:t>重大故障做出快速响应并在最短时间内给予解决的应急通信保障服务；为重要社会活动或特殊事件</w:t>
      </w:r>
      <w:r>
        <w:rPr>
          <w:spacing w:val="-42"/>
        </w:rPr>
        <w:t> </w:t>
      </w:r>
      <w:r>
        <w:rPr>
          <w:spacing w:val="-42"/>
        </w:rPr>
      </w:r>
      <w:r>
        <w:rPr/>
        <w:t>提供应急通信保障服务。</w:t>
      </w:r>
    </w:p>
    <w:p>
      <w:pPr>
        <w:pStyle w:val="BodyText"/>
        <w:spacing w:line="273" w:lineRule="auto"/>
        <w:ind w:left="153" w:right="116" w:firstLine="420"/>
        <w:jc w:val="both"/>
      </w:pPr>
      <w:r>
        <w:rPr>
          <w:spacing w:val="-2"/>
        </w:rPr>
        <w:t>通信网络维护服务收入属于明确约定了服务期限的劳务服务，公司在服务已经提供后，于提供</w:t>
      </w:r>
      <w:r>
        <w:rPr>
          <w:w w:val="100"/>
        </w:rPr>
        <w:t> </w:t>
      </w:r>
      <w:r>
        <w:rPr>
          <w:spacing w:val="-2"/>
        </w:rPr>
        <w:t>服务的当月确认收入。由于在技术服务合同中一般会约定由客户对公司当月的服务根据故障处理指</w:t>
      </w:r>
      <w:r>
        <w:rPr>
          <w:spacing w:val="-42"/>
        </w:rPr>
        <w:t> </w:t>
      </w:r>
      <w:r>
        <w:rPr>
          <w:spacing w:val="-42"/>
        </w:rPr>
      </w:r>
      <w:r>
        <w:rPr>
          <w:spacing w:val="-2"/>
          <w:w w:val="100"/>
        </w:rPr>
        <w:t>标（如故障处理及时性、故障处理平均历时等）、日常巡检、用户满意度（如用户申告障碍率、用</w:t>
      </w:r>
      <w:r>
        <w:rPr>
          <w:spacing w:val="-95"/>
          <w:w w:val="100"/>
        </w:rPr>
        <w:t> </w:t>
      </w:r>
      <w:r>
        <w:rPr>
          <w:spacing w:val="-95"/>
          <w:w w:val="100"/>
        </w:rPr>
      </w:r>
      <w:r>
        <w:rPr>
          <w:spacing w:val="-2"/>
          <w:w w:val="100"/>
        </w:rPr>
        <w:t>户障碍处理及时性、用户障碍修复平均历时等）、综合管理等在次月进行考核，如果考核评分低于</w:t>
      </w:r>
      <w:r>
        <w:rPr>
          <w:spacing w:val="-93"/>
          <w:w w:val="100"/>
        </w:rPr>
        <w:t> </w:t>
      </w:r>
      <w:r>
        <w:rPr>
          <w:spacing w:val="-93"/>
          <w:w w:val="100"/>
        </w:rPr>
      </w:r>
      <w:r>
        <w:rPr>
          <w:spacing w:val="-2"/>
          <w:w w:val="100"/>
        </w:rPr>
        <w:t>合同约定的标准（通常为</w:t>
      </w:r>
      <w:r>
        <w:rPr>
          <w:spacing w:val="-50"/>
          <w:w w:val="100"/>
        </w:rPr>
        <w:t> </w:t>
      </w:r>
      <w:r>
        <w:rPr>
          <w:w w:val="100"/>
        </w:rPr>
        <w:t>95</w:t>
      </w:r>
      <w:r>
        <w:rPr>
          <w:spacing w:val="-48"/>
          <w:w w:val="100"/>
        </w:rPr>
        <w:t> </w:t>
      </w:r>
      <w:r>
        <w:rPr>
          <w:spacing w:val="-5"/>
          <w:w w:val="100"/>
        </w:rPr>
        <w:t>分），客户会依据合同按照得分情况扣减结算额，因此在具体业务中，</w:t>
      </w:r>
      <w:r>
        <w:rPr>
          <w:spacing w:val="-104"/>
          <w:w w:val="100"/>
        </w:rPr>
        <w:t> </w:t>
      </w:r>
      <w:r>
        <w:rPr>
          <w:spacing w:val="-104"/>
          <w:w w:val="100"/>
        </w:rPr>
      </w:r>
      <w:r>
        <w:rPr>
          <w:spacing w:val="2"/>
        </w:rPr>
        <w:t>公司在计算确定当月的服务收入时，根据以往的考核得分情况确定一个扣减率计算当月暂估收入</w:t>
      </w:r>
    </w:p>
    <w:p>
      <w:pPr>
        <w:pStyle w:val="BodyText"/>
        <w:spacing w:line="240" w:lineRule="auto"/>
        <w:ind w:left="153" w:right="0"/>
        <w:jc w:val="left"/>
      </w:pPr>
      <w:r>
        <w:rPr>
          <w:w w:val="100"/>
        </w:rPr>
        <w:t>（扣</w:t>
      </w:r>
      <w:r>
        <w:rPr>
          <w:spacing w:val="-3"/>
          <w:w w:val="100"/>
        </w:rPr>
        <w:t>减</w:t>
      </w:r>
      <w:r>
        <w:rPr>
          <w:w w:val="100"/>
        </w:rPr>
        <w:t>率</w:t>
      </w:r>
      <w:r>
        <w:rPr>
          <w:spacing w:val="-3"/>
          <w:w w:val="100"/>
        </w:rPr>
        <w:t>通常</w:t>
      </w:r>
      <w:r>
        <w:rPr>
          <w:w w:val="100"/>
        </w:rPr>
        <w:t>为</w:t>
      </w:r>
      <w:r>
        <w:rPr>
          <w:spacing w:val="-53"/>
        </w:rPr>
        <w:t> </w:t>
      </w:r>
      <w:r>
        <w:rPr>
          <w:w w:val="100"/>
        </w:rPr>
        <w:t>0</w:t>
      </w:r>
      <w:r>
        <w:rPr>
          <w:spacing w:val="-3"/>
          <w:w w:val="100"/>
        </w:rPr>
        <w:t>—</w:t>
      </w:r>
      <w:r>
        <w:rPr>
          <w:w w:val="100"/>
        </w:rPr>
        <w:t>3%</w:t>
      </w:r>
      <w:r>
        <w:rPr>
          <w:spacing w:val="-108"/>
          <w:w w:val="100"/>
        </w:rPr>
        <w:t>）</w:t>
      </w:r>
      <w:r>
        <w:rPr>
          <w:spacing w:val="-3"/>
          <w:w w:val="100"/>
        </w:rPr>
        <w:t>，</w:t>
      </w:r>
      <w:r>
        <w:rPr>
          <w:w w:val="100"/>
        </w:rPr>
        <w:t>在次</w:t>
      </w:r>
      <w:r>
        <w:rPr>
          <w:spacing w:val="-3"/>
          <w:w w:val="100"/>
        </w:rPr>
        <w:t>月</w:t>
      </w:r>
      <w:r>
        <w:rPr>
          <w:w w:val="100"/>
        </w:rPr>
        <w:t>实</w:t>
      </w:r>
      <w:r>
        <w:rPr>
          <w:spacing w:val="-3"/>
          <w:w w:val="100"/>
        </w:rPr>
        <w:t>际</w:t>
      </w:r>
      <w:r>
        <w:rPr>
          <w:w w:val="100"/>
        </w:rPr>
        <w:t>考</w:t>
      </w:r>
      <w:r>
        <w:rPr>
          <w:spacing w:val="-3"/>
          <w:w w:val="100"/>
        </w:rPr>
        <w:t>评</w:t>
      </w:r>
      <w:r>
        <w:rPr>
          <w:w w:val="100"/>
        </w:rPr>
        <w:t>结</w:t>
      </w:r>
      <w:r>
        <w:rPr>
          <w:spacing w:val="-3"/>
          <w:w w:val="100"/>
        </w:rPr>
        <w:t>果</w:t>
      </w:r>
      <w:r>
        <w:rPr>
          <w:w w:val="100"/>
        </w:rPr>
        <w:t>确</w:t>
      </w:r>
      <w:r>
        <w:rPr>
          <w:spacing w:val="-3"/>
          <w:w w:val="100"/>
        </w:rPr>
        <w:t>定</w:t>
      </w:r>
      <w:r>
        <w:rPr>
          <w:w w:val="100"/>
        </w:rPr>
        <w:t>后，</w:t>
      </w:r>
      <w:r>
        <w:rPr>
          <w:spacing w:val="-3"/>
          <w:w w:val="100"/>
        </w:rPr>
        <w:t>如</w:t>
      </w:r>
      <w:r>
        <w:rPr>
          <w:w w:val="100"/>
        </w:rPr>
        <w:t>有</w:t>
      </w:r>
      <w:r>
        <w:rPr>
          <w:spacing w:val="-3"/>
          <w:w w:val="100"/>
        </w:rPr>
        <w:t>差</w:t>
      </w:r>
      <w:r>
        <w:rPr>
          <w:w w:val="100"/>
        </w:rPr>
        <w:t>异</w:t>
      </w:r>
      <w:r>
        <w:rPr>
          <w:spacing w:val="-3"/>
          <w:w w:val="100"/>
        </w:rPr>
        <w:t>再</w:t>
      </w:r>
      <w:r>
        <w:rPr>
          <w:w w:val="100"/>
        </w:rPr>
        <w:t>根</w:t>
      </w:r>
      <w:r>
        <w:rPr>
          <w:spacing w:val="-3"/>
          <w:w w:val="100"/>
        </w:rPr>
        <w:t>据</w:t>
      </w:r>
      <w:r>
        <w:rPr>
          <w:w w:val="100"/>
        </w:rPr>
        <w:t>实</w:t>
      </w:r>
      <w:r>
        <w:rPr>
          <w:spacing w:val="-3"/>
          <w:w w:val="100"/>
        </w:rPr>
        <w:t>际</w:t>
      </w:r>
      <w:r>
        <w:rPr>
          <w:w w:val="100"/>
        </w:rPr>
        <w:t>数额</w:t>
      </w:r>
      <w:r>
        <w:rPr>
          <w:spacing w:val="-3"/>
          <w:w w:val="100"/>
        </w:rPr>
        <w:t>进</w:t>
      </w:r>
      <w:r>
        <w:rPr>
          <w:w w:val="100"/>
        </w:rPr>
        <w:t>行</w:t>
      </w:r>
      <w:r>
        <w:rPr>
          <w:spacing w:val="-3"/>
          <w:w w:val="100"/>
        </w:rPr>
        <w:t>调</w:t>
      </w:r>
      <w:r>
        <w:rPr>
          <w:w w:val="100"/>
        </w:rPr>
        <w:t>整。</w:t>
      </w:r>
    </w:p>
    <w:p>
      <w:pPr>
        <w:pStyle w:val="BodyText"/>
        <w:spacing w:line="273" w:lineRule="auto" w:before="37"/>
        <w:ind w:right="0"/>
        <w:jc w:val="left"/>
      </w:pPr>
      <w:r>
        <w:rPr/>
        <w:t>②通信网络优化服务收入</w:t>
      </w:r>
      <w:r>
        <w:rPr>
          <w:w w:val="100"/>
        </w:rPr>
        <w:t> </w:t>
      </w:r>
      <w:r>
        <w:rPr>
          <w:spacing w:val="-2"/>
        </w:rPr>
        <w:t>通信网络优化服务主要是通过设备调整、参数调整、线路的整治等使动态、复杂的通信网络达</w:t>
      </w:r>
    </w:p>
    <w:p>
      <w:pPr>
        <w:pStyle w:val="BodyText"/>
        <w:spacing w:line="273" w:lineRule="auto" w:before="8"/>
        <w:ind w:right="0" w:hanging="421"/>
        <w:jc w:val="left"/>
      </w:pPr>
      <w:r>
        <w:rPr/>
        <w:t>到最佳运行状态。</w:t>
      </w:r>
      <w:r>
        <w:rPr>
          <w:w w:val="100"/>
        </w:rPr>
        <w:t> </w:t>
      </w:r>
      <w:r>
        <w:rPr>
          <w:spacing w:val="-2"/>
        </w:rPr>
        <w:t>由于网络优化服务的服务模式与网络维护的基本相同，因此收入按照网络维护服务收入的确认</w:t>
      </w:r>
    </w:p>
    <w:p>
      <w:pPr>
        <w:pStyle w:val="BodyText"/>
        <w:spacing w:line="240" w:lineRule="auto"/>
        <w:ind w:left="153" w:right="0"/>
        <w:jc w:val="left"/>
      </w:pPr>
      <w:r>
        <w:rPr/>
        <w:t>原则予以确认。</w:t>
      </w:r>
    </w:p>
    <w:p>
      <w:pPr>
        <w:pStyle w:val="BodyText"/>
        <w:spacing w:line="273" w:lineRule="auto" w:before="37"/>
        <w:ind w:right="4357"/>
        <w:jc w:val="left"/>
      </w:pPr>
      <w:r>
        <w:rPr/>
        <w:t>（3）提供劳务</w:t>
      </w:r>
      <w:r>
        <w:rPr>
          <w:w w:val="100"/>
        </w:rPr>
        <w:t> </w:t>
      </w:r>
      <w:r>
        <w:rPr>
          <w:spacing w:val="-2"/>
        </w:rPr>
        <w:t>在下列条件均能满足时予以确认：</w:t>
      </w:r>
    </w:p>
    <w:p>
      <w:pPr>
        <w:pStyle w:val="BodyText"/>
        <w:spacing w:line="240" w:lineRule="auto"/>
        <w:ind w:right="0"/>
        <w:jc w:val="left"/>
      </w:pPr>
      <w:r>
        <w:rPr/>
        <w:t>①收入的金额能够可靠地计量；</w:t>
      </w:r>
    </w:p>
    <w:p>
      <w:pPr>
        <w:pStyle w:val="BodyText"/>
        <w:spacing w:line="240" w:lineRule="auto" w:before="37"/>
        <w:ind w:right="0"/>
        <w:jc w:val="left"/>
      </w:pPr>
      <w:r>
        <w:rPr/>
        <w:t>②相关的经济利益很可能流入企业；</w:t>
      </w:r>
    </w:p>
    <w:p>
      <w:pPr>
        <w:pStyle w:val="BodyText"/>
        <w:spacing w:line="240" w:lineRule="auto" w:before="37"/>
        <w:ind w:right="0"/>
        <w:jc w:val="left"/>
      </w:pPr>
      <w:r>
        <w:rPr/>
        <w:t>③交易的完工进度能够可靠地确定；</w:t>
      </w:r>
    </w:p>
    <w:p>
      <w:pPr>
        <w:pStyle w:val="BodyText"/>
        <w:spacing w:line="240" w:lineRule="auto" w:before="37"/>
        <w:ind w:right="0"/>
        <w:jc w:val="left"/>
      </w:pPr>
      <w:r>
        <w:rPr/>
        <w:t>④交易中已发生或将发生的成本能够可靠地计量。</w:t>
      </w:r>
    </w:p>
    <w:p>
      <w:pPr>
        <w:pStyle w:val="BodyText"/>
        <w:spacing w:line="273" w:lineRule="auto" w:before="37"/>
        <w:ind w:right="0"/>
        <w:jc w:val="left"/>
      </w:pPr>
      <w:r>
        <w:rPr/>
        <w:t>（4）让渡资产使用权</w:t>
      </w:r>
      <w:r>
        <w:rPr>
          <w:w w:val="100"/>
        </w:rPr>
        <w:t> </w:t>
      </w:r>
      <w:r>
        <w:rPr>
          <w:spacing w:val="-2"/>
        </w:rPr>
        <w:t>与交易相关的经济利益很可能流入企业，收入的金额能够可靠地计量时，分别下列情况确定让</w:t>
      </w:r>
    </w:p>
    <w:p>
      <w:pPr>
        <w:spacing w:after="0" w:line="273" w:lineRule="auto"/>
        <w:jc w:val="left"/>
        <w:sectPr>
          <w:pgSz w:w="11910" w:h="16840"/>
          <w:pgMar w:header="884" w:footer="1219" w:top="1140" w:bottom="1400" w:left="1320" w:right="1280"/>
        </w:sectPr>
      </w:pPr>
    </w:p>
    <w:p>
      <w:pPr>
        <w:pStyle w:val="BodyText"/>
        <w:spacing w:line="240" w:lineRule="auto" w:before="131"/>
        <w:ind w:left="153" w:right="46"/>
        <w:jc w:val="left"/>
      </w:pPr>
      <w:r>
        <w:rPr/>
        <w:t>渡资产使用权收入金额：</w:t>
      </w:r>
    </w:p>
    <w:p>
      <w:pPr>
        <w:pStyle w:val="BodyText"/>
        <w:spacing w:line="240" w:lineRule="auto" w:before="37"/>
        <w:ind w:right="46"/>
        <w:jc w:val="left"/>
      </w:pPr>
      <w:r>
        <w:rPr/>
        <w:t>①利息收入金额，按照他人使用本企业货币资金的时间和实际利率计算确定；</w:t>
      </w:r>
    </w:p>
    <w:p>
      <w:pPr>
        <w:pStyle w:val="BodyText"/>
        <w:spacing w:line="240" w:lineRule="auto" w:before="37"/>
        <w:ind w:right="46"/>
        <w:jc w:val="left"/>
      </w:pPr>
      <w:r>
        <w:rPr/>
        <w:t>②使用费收入金额，按照有关合同或协议约定的收费时间和方法计算确定。</w:t>
      </w:r>
    </w:p>
    <w:p>
      <w:pPr>
        <w:pStyle w:val="BodyText"/>
        <w:spacing w:line="348" w:lineRule="auto" w:before="37"/>
        <w:ind w:right="46"/>
        <w:jc w:val="left"/>
      </w:pPr>
      <w:r>
        <w:rPr/>
        <w:t>（5）通信基础设施建设收入确认和计量的总体原则</w:t>
      </w:r>
      <w:r>
        <w:rPr>
          <w:w w:val="100"/>
        </w:rPr>
        <w:t> </w:t>
      </w:r>
      <w:r>
        <w:rPr>
          <w:spacing w:val="-2"/>
        </w:rPr>
        <w:t>合同的结果能够可靠估计的，根据完工百分比法确认合同收入和合同费用。完工百分比法是指</w:t>
      </w:r>
    </w:p>
    <w:p>
      <w:pPr>
        <w:pStyle w:val="BodyText"/>
        <w:spacing w:line="350" w:lineRule="auto" w:before="31"/>
        <w:ind w:right="3345" w:hanging="421"/>
        <w:jc w:val="left"/>
      </w:pPr>
      <w:r>
        <w:rPr/>
        <w:t>根据合同完工进度确认收入和费用的方法。</w:t>
      </w:r>
      <w:r>
        <w:rPr>
          <w:w w:val="100"/>
        </w:rPr>
        <w:t> </w:t>
      </w:r>
      <w:r>
        <w:rPr>
          <w:spacing w:val="-2"/>
        </w:rPr>
        <w:t>合同的结果能够可靠估计，是指同时满足下列条件：</w:t>
      </w:r>
    </w:p>
    <w:p>
      <w:pPr>
        <w:pStyle w:val="BodyText"/>
        <w:spacing w:line="240" w:lineRule="auto" w:before="27"/>
        <w:ind w:right="46"/>
        <w:jc w:val="left"/>
      </w:pPr>
      <w:r>
        <w:rPr/>
        <w:t>①合同总收入能够可靠地计量；</w:t>
      </w:r>
    </w:p>
    <w:p>
      <w:pPr>
        <w:pStyle w:val="BodyText"/>
        <w:spacing w:line="240" w:lineRule="auto" w:before="126"/>
        <w:ind w:right="46"/>
        <w:jc w:val="left"/>
      </w:pPr>
      <w:r>
        <w:rPr/>
        <w:t>②与合同相关的经济利益很可能流入企业；</w:t>
      </w:r>
    </w:p>
    <w:p>
      <w:pPr>
        <w:pStyle w:val="BodyText"/>
        <w:spacing w:line="240" w:lineRule="auto" w:before="126"/>
        <w:ind w:right="46"/>
        <w:jc w:val="left"/>
      </w:pPr>
      <w:r>
        <w:rPr/>
        <w:t>③实际发生的合同成本能够清楚地区分和可靠地计量；</w:t>
      </w:r>
    </w:p>
    <w:p>
      <w:pPr>
        <w:pStyle w:val="BodyText"/>
        <w:spacing w:line="350" w:lineRule="auto" w:before="123"/>
        <w:ind w:right="46"/>
        <w:jc w:val="left"/>
      </w:pPr>
      <w:r>
        <w:rPr/>
        <w:t>④合同完工进度和为完成合同尚需发生的成本能够可靠地确定。</w:t>
      </w:r>
      <w:r>
        <w:rPr>
          <w:w w:val="100"/>
        </w:rPr>
        <w:t> </w:t>
      </w:r>
      <w:r>
        <w:rPr>
          <w:spacing w:val="-2"/>
        </w:rPr>
        <w:t>在资产负债表日，公司按照合同总收入乘以完工进度扣除以前会计期间累计已确认收入后的金</w:t>
      </w:r>
    </w:p>
    <w:p>
      <w:pPr>
        <w:pStyle w:val="BodyText"/>
        <w:spacing w:line="348" w:lineRule="auto" w:before="29"/>
        <w:ind w:left="153" w:right="46"/>
        <w:jc w:val="left"/>
      </w:pPr>
      <w:r>
        <w:rPr>
          <w:spacing w:val="-2"/>
        </w:rPr>
        <w:t>额，确认为当期合同收入；同时，按照合同预计总成本乘以完工进度扣除以前会计期间累计已确认</w:t>
      </w:r>
      <w:r>
        <w:rPr>
          <w:spacing w:val="-46"/>
        </w:rPr>
        <w:t> </w:t>
      </w:r>
      <w:r>
        <w:rPr>
          <w:spacing w:val="-46"/>
        </w:rPr>
      </w:r>
      <w:r>
        <w:rPr/>
        <w:t>费用后的金额，确认为当期合同费用。</w:t>
      </w:r>
    </w:p>
    <w:p>
      <w:pPr>
        <w:pStyle w:val="BodyText"/>
        <w:spacing w:line="348" w:lineRule="auto" w:before="31"/>
        <w:ind w:left="153" w:right="46" w:firstLine="420"/>
        <w:jc w:val="left"/>
      </w:pPr>
      <w:r>
        <w:rPr/>
        <w:t>当期完成的合同，公司按照实际合同总收入扣除以前会计期间累计已确认收入后的金额，确认</w:t>
      </w:r>
      <w:r>
        <w:rPr>
          <w:w w:val="100"/>
        </w:rPr>
        <w:t> </w:t>
      </w:r>
      <w:r>
        <w:rPr>
          <w:spacing w:val="-5"/>
        </w:rPr>
        <w:t>为当期合同收入；同时，按照累计实际发生的合同成本扣除以前会计期间累计已确认费用后的金额，</w:t>
      </w:r>
      <w:r>
        <w:rPr>
          <w:spacing w:val="-12"/>
        </w:rPr>
        <w:t> </w:t>
      </w:r>
      <w:r>
        <w:rPr>
          <w:spacing w:val="-12"/>
        </w:rPr>
      </w:r>
      <w:r>
        <w:rPr/>
        <w:t>确认为当期合同费用。</w:t>
      </w:r>
    </w:p>
    <w:p>
      <w:pPr>
        <w:pStyle w:val="BodyText"/>
        <w:spacing w:line="240" w:lineRule="auto" w:before="31"/>
        <w:ind w:right="46"/>
        <w:jc w:val="left"/>
      </w:pPr>
      <w:r>
        <w:rPr/>
        <w:t>合同的结果不能可靠估计的，公司分别下列情况处理：</w:t>
      </w:r>
    </w:p>
    <w:p>
      <w:pPr>
        <w:pStyle w:val="BodyText"/>
        <w:spacing w:line="348" w:lineRule="auto" w:before="126"/>
        <w:ind w:left="153" w:right="46" w:firstLine="420"/>
        <w:jc w:val="left"/>
      </w:pPr>
      <w:r>
        <w:rPr>
          <w:spacing w:val="-2"/>
        </w:rPr>
        <w:t>①合同成本能够收回的，合同收入根据能够收回的实际合同成本予以确认，合同成本在其发生</w:t>
      </w:r>
      <w:r>
        <w:rPr>
          <w:w w:val="100"/>
        </w:rPr>
        <w:t> </w:t>
      </w:r>
      <w:r>
        <w:rPr/>
        <w:t>的当期确认为合同费用。</w:t>
      </w:r>
    </w:p>
    <w:p>
      <w:pPr>
        <w:pStyle w:val="BodyText"/>
        <w:spacing w:line="340" w:lineRule="auto" w:before="31"/>
        <w:ind w:right="1056"/>
        <w:jc w:val="left"/>
        <w:rPr>
          <w:rFonts w:ascii="宋体" w:hAnsi="宋体" w:cs="宋体" w:eastAsia="宋体" w:hint="default"/>
        </w:rPr>
      </w:pPr>
      <w:r>
        <w:rPr>
          <w:spacing w:val="-2"/>
        </w:rPr>
        <w:t>②合同成本不可能收回的，在发生时立即确认为合同费用，不确认合同收入。</w:t>
      </w:r>
      <w:r>
        <w:rPr>
          <w:spacing w:val="-42"/>
        </w:rPr>
        <w:t> </w:t>
      </w:r>
      <w:r>
        <w:rPr>
          <w:spacing w:val="-42"/>
        </w:rPr>
      </w:r>
      <w:r>
        <w:rPr/>
        <w:t>合同预计总成本超过合同总收入的，应当将预计损失确认为当期费用。</w:t>
      </w:r>
      <w:r>
        <w:rPr>
          <w:w w:val="100"/>
        </w:rPr>
        <w:t> </w:t>
      </w:r>
      <w:r>
        <w:rPr>
          <w:rFonts w:ascii="宋体" w:hAnsi="宋体" w:cs="宋体" w:eastAsia="宋体" w:hint="default"/>
          <w:b/>
          <w:bCs/>
        </w:rPr>
        <w:t>22、政府补助</w:t>
      </w:r>
      <w:r>
        <w:rPr>
          <w:rFonts w:ascii="宋体" w:hAnsi="宋体" w:cs="宋体" w:eastAsia="宋体" w:hint="default"/>
        </w:rPr>
      </w:r>
    </w:p>
    <w:p>
      <w:pPr>
        <w:pStyle w:val="BodyText"/>
        <w:spacing w:line="209" w:lineRule="exact" w:before="0"/>
        <w:ind w:right="46"/>
        <w:jc w:val="left"/>
      </w:pPr>
      <w:r>
        <w:rPr/>
        <w:t>政府补助，是本公司从政府无偿取得货币性资产或非货币性资产，但不包括政府作为企业所有</w:t>
      </w:r>
    </w:p>
    <w:p>
      <w:pPr>
        <w:pStyle w:val="BodyText"/>
        <w:spacing w:line="240" w:lineRule="auto" w:before="37"/>
        <w:ind w:left="153" w:right="46"/>
        <w:jc w:val="left"/>
      </w:pPr>
      <w:r>
        <w:rPr/>
        <w:t>者投入的资本。政府补助分为与资产相关的政府补助和与收益相关的政府助。</w:t>
      </w:r>
    </w:p>
    <w:p>
      <w:pPr>
        <w:pStyle w:val="BodyText"/>
        <w:spacing w:line="273" w:lineRule="auto" w:before="37"/>
        <w:ind w:right="46"/>
        <w:jc w:val="left"/>
      </w:pPr>
      <w:r>
        <w:rPr/>
        <w:t>（1）与资产相关的政府补助判断依据及会计处理方法</w:t>
      </w:r>
      <w:r>
        <w:rPr>
          <w:w w:val="100"/>
        </w:rPr>
        <w:t> </w:t>
      </w:r>
      <w:r>
        <w:rPr>
          <w:spacing w:val="-2"/>
        </w:rPr>
        <w:t>与资产相关的政府补助确认为递延收益，在相关资产使用寿命内平均分配计入当期损益。相关</w:t>
      </w:r>
    </w:p>
    <w:p>
      <w:pPr>
        <w:pStyle w:val="BodyText"/>
        <w:spacing w:line="273" w:lineRule="auto"/>
        <w:ind w:left="153" w:right="46"/>
        <w:jc w:val="left"/>
      </w:pPr>
      <w:r>
        <w:rPr>
          <w:spacing w:val="-2"/>
        </w:rPr>
        <w:t>资产在使用寿命结束前被出售、转让、报废或发生毁损的，将尚未分配的相关递延收益余额转入资</w:t>
      </w:r>
      <w:r>
        <w:rPr>
          <w:spacing w:val="-47"/>
        </w:rPr>
        <w:t> </w:t>
      </w:r>
      <w:r>
        <w:rPr>
          <w:spacing w:val="-47"/>
        </w:rPr>
      </w:r>
      <w:r>
        <w:rPr/>
        <w:t>产处置当期的损益。</w:t>
      </w:r>
    </w:p>
    <w:p>
      <w:pPr>
        <w:pStyle w:val="BodyText"/>
        <w:spacing w:line="273" w:lineRule="auto" w:before="8"/>
        <w:ind w:right="46"/>
        <w:jc w:val="left"/>
      </w:pPr>
      <w:r>
        <w:rPr/>
        <w:t>（2）与收益相关的政府补助判断依据及会计处理方法</w:t>
      </w:r>
      <w:r>
        <w:rPr>
          <w:w w:val="100"/>
        </w:rPr>
        <w:t> </w:t>
      </w:r>
      <w:r>
        <w:rPr>
          <w:spacing w:val="-2"/>
        </w:rPr>
        <w:t>与收益相关的政府补助，用于补偿以后期间的相关费用或损失的，确认为递延收益，并在确认</w:t>
      </w:r>
    </w:p>
    <w:p>
      <w:pPr>
        <w:pStyle w:val="BodyText"/>
        <w:spacing w:line="273" w:lineRule="auto"/>
        <w:ind w:right="46" w:hanging="421"/>
        <w:jc w:val="left"/>
      </w:pPr>
      <w:r>
        <w:rPr/>
        <w:t>相关费用的期间计入当期损益；用于补偿已发生的相关费用或损失的，直接计入当期损益。</w:t>
      </w:r>
      <w:r>
        <w:rPr>
          <w:w w:val="100"/>
        </w:rPr>
        <w:t> </w:t>
      </w:r>
      <w:r>
        <w:rPr>
          <w:spacing w:val="-2"/>
        </w:rPr>
        <w:t>与公司日常活动相关的政府补助，按照经济业务实质，计入其他收益或冲减相关成本费用。与</w:t>
      </w:r>
    </w:p>
    <w:p>
      <w:pPr>
        <w:spacing w:line="333" w:lineRule="auto" w:before="8"/>
        <w:ind w:left="575" w:right="3345" w:hanging="423"/>
        <w:jc w:val="left"/>
        <w:rPr>
          <w:rFonts w:ascii="宋体" w:hAnsi="宋体" w:cs="宋体" w:eastAsia="宋体" w:hint="default"/>
          <w:sz w:val="21"/>
          <w:szCs w:val="21"/>
        </w:rPr>
      </w:pPr>
      <w:r>
        <w:rPr>
          <w:rFonts w:ascii="宋体" w:hAnsi="宋体" w:cs="宋体" w:eastAsia="宋体" w:hint="default"/>
          <w:spacing w:val="-2"/>
          <w:sz w:val="21"/>
          <w:szCs w:val="21"/>
        </w:rPr>
        <w:t>公司日常活动无关的政府补助，计入营业外收入。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23、递延所得税资产、递延所得税负债</w:t>
      </w:r>
      <w:r>
        <w:rPr>
          <w:rFonts w:ascii="宋体" w:hAnsi="宋体" w:cs="宋体" w:eastAsia="宋体" w:hint="default"/>
          <w:sz w:val="21"/>
          <w:szCs w:val="21"/>
        </w:rPr>
      </w:r>
    </w:p>
    <w:p>
      <w:pPr>
        <w:pStyle w:val="BodyText"/>
        <w:spacing w:line="213" w:lineRule="exact" w:before="0"/>
        <w:ind w:right="46"/>
        <w:jc w:val="left"/>
      </w:pPr>
      <w:r>
        <w:rPr/>
        <w:t>（1）当期所得税</w:t>
      </w:r>
    </w:p>
    <w:p>
      <w:pPr>
        <w:pStyle w:val="BodyText"/>
        <w:spacing w:line="273" w:lineRule="auto" w:before="37"/>
        <w:ind w:left="153" w:right="212" w:firstLine="420"/>
        <w:jc w:val="both"/>
      </w:pPr>
      <w:r>
        <w:rPr>
          <w:spacing w:val="-2"/>
          <w:w w:val="100"/>
        </w:rPr>
        <w:t>资产负债表日，对于当期和以前期间形成的当期所得税负债（或资产），以按照税法规定计算</w:t>
      </w:r>
      <w:r>
        <w:rPr>
          <w:w w:val="100"/>
        </w:rPr>
        <w:t> </w:t>
      </w:r>
      <w:r>
        <w:rPr>
          <w:spacing w:val="-2"/>
        </w:rPr>
        <w:t>的预期应交纳（或返还）的所得税金额计量。计算当期所得税费用所依据的应纳税所得额系根据有</w:t>
      </w:r>
      <w:r>
        <w:rPr>
          <w:spacing w:val="-46"/>
        </w:rPr>
        <w:t> </w:t>
      </w:r>
      <w:r>
        <w:rPr>
          <w:spacing w:val="-46"/>
        </w:rPr>
      </w:r>
      <w:r>
        <w:rPr/>
        <w:t>关税法规定对本报告期税前会计利润作相应调整后计算得出。</w:t>
      </w:r>
    </w:p>
    <w:p>
      <w:pPr>
        <w:spacing w:after="0" w:line="273" w:lineRule="auto"/>
        <w:jc w:val="both"/>
        <w:sectPr>
          <w:pgSz w:w="11910" w:h="16840"/>
          <w:pgMar w:header="884" w:footer="1219" w:top="1140" w:bottom="1400" w:left="1320" w:right="1200"/>
        </w:sectPr>
      </w:pPr>
    </w:p>
    <w:p>
      <w:pPr>
        <w:pStyle w:val="BodyText"/>
        <w:spacing w:line="273" w:lineRule="auto" w:before="131"/>
        <w:ind w:left="693" w:right="0"/>
        <w:jc w:val="left"/>
      </w:pPr>
      <w:r>
        <w:rPr/>
        <w:t>（2）递延所得税资产及递延所得税负债</w:t>
      </w:r>
      <w:r>
        <w:rPr>
          <w:w w:val="100"/>
        </w:rPr>
        <w:t> </w:t>
      </w:r>
      <w:r>
        <w:rPr>
          <w:spacing w:val="-2"/>
        </w:rPr>
        <w:t>某些资产、负债项目的账面价值与其计税基础之间的差额，以及未作为资产和负债确认但按照</w:t>
      </w:r>
    </w:p>
    <w:p>
      <w:pPr>
        <w:pStyle w:val="BodyText"/>
        <w:spacing w:line="273" w:lineRule="auto"/>
        <w:ind w:left="273" w:right="270"/>
        <w:jc w:val="both"/>
      </w:pPr>
      <w:r>
        <w:rPr>
          <w:spacing w:val="-2"/>
        </w:rPr>
        <w:t>税法规定可以确定其计税基础的项目的账面价值与计税基础之间的差额产生的暂时性差异，采用资</w:t>
      </w:r>
      <w:r>
        <w:rPr>
          <w:spacing w:val="-42"/>
        </w:rPr>
        <w:t> </w:t>
      </w:r>
      <w:r>
        <w:rPr>
          <w:spacing w:val="-42"/>
        </w:rPr>
      </w:r>
      <w:r>
        <w:rPr/>
        <w:t>产负债表债务法确认递延所得税资产及递延所得税负债。</w:t>
      </w:r>
    </w:p>
    <w:p>
      <w:pPr>
        <w:pStyle w:val="BodyText"/>
        <w:spacing w:line="273" w:lineRule="auto"/>
        <w:ind w:left="273" w:right="270" w:firstLine="420"/>
        <w:jc w:val="both"/>
      </w:pPr>
      <w:r>
        <w:rPr>
          <w:spacing w:val="-7"/>
        </w:rPr>
        <w:t>与商誉的初始确认有关，以及与既不是企业合并、发生时也不影响会计利润和应纳税所得额（或</w:t>
      </w:r>
      <w:r>
        <w:rPr>
          <w:w w:val="100"/>
        </w:rPr>
        <w:t> </w:t>
      </w:r>
      <w:r>
        <w:rPr>
          <w:spacing w:val="-2"/>
        </w:rPr>
        <w:t>可抵扣亏损）的交易中产生的资产或负债的初始确认有关的应纳税暂时性差异，不予确认有关的递</w:t>
      </w:r>
      <w:r>
        <w:rPr>
          <w:spacing w:val="-42"/>
        </w:rPr>
        <w:t> </w:t>
      </w:r>
      <w:r>
        <w:rPr>
          <w:spacing w:val="-42"/>
        </w:rPr>
      </w:r>
      <w:r>
        <w:rPr>
          <w:spacing w:val="-2"/>
        </w:rPr>
        <w:t>延所得税负债。此外，对与子公司、联营企业及合营企业投资相关的应纳税暂时性差异，如果本公</w:t>
      </w:r>
      <w:r>
        <w:rPr>
          <w:spacing w:val="-46"/>
        </w:rPr>
        <w:t> </w:t>
      </w:r>
      <w:r>
        <w:rPr>
          <w:spacing w:val="-46"/>
        </w:rPr>
      </w:r>
      <w:r>
        <w:rPr>
          <w:spacing w:val="-2"/>
        </w:rPr>
        <w:t>司能够控制暂时性差异转回的时间，而且该暂时性差异在可预见的未来很可能不会转回，也不予确</w:t>
      </w:r>
      <w:r>
        <w:rPr>
          <w:spacing w:val="-43"/>
        </w:rPr>
        <w:t> </w:t>
      </w:r>
      <w:r>
        <w:rPr>
          <w:spacing w:val="-43"/>
        </w:rPr>
      </w:r>
      <w:r>
        <w:rPr>
          <w:spacing w:val="-2"/>
        </w:rPr>
        <w:t>认有关的递延所得税负债。除上述例外情况，本公司确认其他所有应纳税暂时性差异产生的递延所</w:t>
      </w:r>
      <w:r>
        <w:rPr>
          <w:spacing w:val="-43"/>
        </w:rPr>
        <w:t> </w:t>
      </w:r>
      <w:r>
        <w:rPr>
          <w:spacing w:val="-43"/>
        </w:rPr>
      </w:r>
      <w:r>
        <w:rPr/>
        <w:t>得税负债。</w:t>
      </w:r>
    </w:p>
    <w:p>
      <w:pPr>
        <w:pStyle w:val="BodyText"/>
        <w:spacing w:line="273" w:lineRule="auto"/>
        <w:ind w:left="273" w:right="270" w:firstLine="420"/>
        <w:jc w:val="both"/>
      </w:pPr>
      <w:r>
        <w:rPr>
          <w:spacing w:val="-2"/>
        </w:rPr>
        <w:t>与既不是企业合并、发生时也不影响会计利润和应纳税所得额（或可抵扣亏损）的交易中产生</w:t>
      </w:r>
      <w:r>
        <w:rPr>
          <w:w w:val="100"/>
        </w:rPr>
        <w:t> </w:t>
      </w:r>
      <w:r>
        <w:rPr>
          <w:spacing w:val="-2"/>
        </w:rPr>
        <w:t>的资产或负债的初始确认有关的可抵扣暂时性差异，不予确认有关的递延所得税资产。此外，对与</w:t>
      </w:r>
      <w:r>
        <w:rPr>
          <w:spacing w:val="-43"/>
        </w:rPr>
        <w:t> </w:t>
      </w:r>
      <w:r>
        <w:rPr>
          <w:spacing w:val="-43"/>
        </w:rPr>
      </w:r>
      <w:r>
        <w:rPr>
          <w:spacing w:val="-2"/>
        </w:rPr>
        <w:t>子公司、联营企业及合营企业投资相关的可抵扣暂时性差异，如果暂时性差异在可预见的未来不是</w:t>
      </w:r>
      <w:r>
        <w:rPr>
          <w:spacing w:val="-46"/>
        </w:rPr>
        <w:t> </w:t>
      </w:r>
      <w:r>
        <w:rPr>
          <w:spacing w:val="-46"/>
        </w:rPr>
      </w:r>
      <w:r>
        <w:rPr>
          <w:spacing w:val="-2"/>
        </w:rPr>
        <w:t>很可能转回，或者未来不是很可能获得用来抵扣可抵扣暂时性差异的应纳税所得额，不予确认有关</w:t>
      </w:r>
      <w:r>
        <w:rPr>
          <w:spacing w:val="-42"/>
        </w:rPr>
        <w:t> </w:t>
      </w:r>
      <w:r>
        <w:rPr>
          <w:spacing w:val="-42"/>
        </w:rPr>
      </w:r>
      <w:r>
        <w:rPr>
          <w:spacing w:val="-2"/>
        </w:rPr>
        <w:t>的递延所得税资产。除上述例外情况，本公司以很可能取得用来抵扣可抵扣暂时性差异的应纳税所</w:t>
      </w:r>
      <w:r>
        <w:rPr>
          <w:spacing w:val="-46"/>
        </w:rPr>
        <w:t> </w:t>
      </w:r>
      <w:r>
        <w:rPr>
          <w:spacing w:val="-46"/>
        </w:rPr>
      </w:r>
      <w:r>
        <w:rPr/>
        <w:t>得额为限，确认其他可抵扣暂时性差异产生的递延所得税资产。</w:t>
      </w:r>
    </w:p>
    <w:p>
      <w:pPr>
        <w:pStyle w:val="BodyText"/>
        <w:spacing w:line="273" w:lineRule="auto" w:before="8"/>
        <w:ind w:left="273" w:right="270" w:firstLine="420"/>
        <w:jc w:val="both"/>
      </w:pPr>
      <w:r>
        <w:rPr>
          <w:spacing w:val="-2"/>
        </w:rPr>
        <w:t>对于能够结转以后年度的可抵扣亏损和税款抵减，以很可能获得用来抵扣可抵扣亏损和税款抵</w:t>
      </w:r>
      <w:r>
        <w:rPr>
          <w:w w:val="100"/>
        </w:rPr>
        <w:t> </w:t>
      </w:r>
      <w:r>
        <w:rPr/>
        <w:t>减的未来应纳税所得额为限，确认相应的递延所得税资产。</w:t>
      </w:r>
    </w:p>
    <w:p>
      <w:pPr>
        <w:pStyle w:val="BodyText"/>
        <w:spacing w:line="273" w:lineRule="auto"/>
        <w:ind w:left="273" w:right="272" w:firstLine="420"/>
        <w:jc w:val="both"/>
      </w:pPr>
      <w:r>
        <w:rPr>
          <w:spacing w:val="-2"/>
        </w:rPr>
        <w:t>资产负债表日，对于递延所得税资产和递延所得税负债，根据税法规定，按照预期收回相关资</w:t>
      </w:r>
      <w:r>
        <w:rPr>
          <w:w w:val="100"/>
        </w:rPr>
        <w:t> </w:t>
      </w:r>
      <w:r>
        <w:rPr/>
        <w:t>产或清偿相关负债期间的适用税率计量。</w:t>
      </w:r>
    </w:p>
    <w:p>
      <w:pPr>
        <w:pStyle w:val="BodyText"/>
        <w:spacing w:line="273" w:lineRule="auto" w:before="8"/>
        <w:ind w:left="273" w:right="270" w:firstLine="420"/>
        <w:jc w:val="both"/>
      </w:pPr>
      <w:r>
        <w:rPr>
          <w:spacing w:val="-2"/>
        </w:rPr>
        <w:t>于资产负债表日，对递延所得税资产的账面价值进行复核，如果未来很可能无法获得足够的应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纳税所得额用以抵扣递延所得税资产的利益，则减记递延所得税资产的账面价值。在很可能获得足</w:t>
      </w:r>
      <w:r>
        <w:rPr>
          <w:spacing w:val="-44"/>
        </w:rPr>
        <w:t> </w:t>
      </w:r>
      <w:r>
        <w:rPr>
          <w:spacing w:val="-44"/>
        </w:rPr>
      </w:r>
      <w:r>
        <w:rPr/>
        <w:t>够的应纳税所得额时，减记的金额予以转回。</w:t>
      </w:r>
    </w:p>
    <w:p>
      <w:pPr>
        <w:pStyle w:val="BodyText"/>
        <w:spacing w:line="273" w:lineRule="auto" w:before="8"/>
        <w:ind w:left="693" w:right="3365"/>
        <w:jc w:val="left"/>
      </w:pPr>
      <w:r>
        <w:rPr/>
        <w:t>（3）所得税费用</w:t>
      </w:r>
      <w:r>
        <w:rPr>
          <w:w w:val="100"/>
        </w:rPr>
        <w:t> </w:t>
      </w:r>
      <w:r>
        <w:rPr>
          <w:spacing w:val="-2"/>
        </w:rPr>
        <w:t>所得税费用包括当期所得税和递延所得税。</w:t>
      </w:r>
    </w:p>
    <w:p>
      <w:pPr>
        <w:pStyle w:val="BodyText"/>
        <w:spacing w:line="273" w:lineRule="auto"/>
        <w:ind w:left="273" w:right="270" w:firstLine="420"/>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入其他综合收益或股东权益，以及企业合并产生的递延所得税调整商誉的账面价值外，其余当期所</w:t>
      </w:r>
      <w:r>
        <w:rPr>
          <w:spacing w:val="-43"/>
        </w:rPr>
        <w:t> </w:t>
      </w:r>
      <w:r>
        <w:rPr>
          <w:spacing w:val="-43"/>
        </w:rPr>
      </w:r>
      <w:r>
        <w:rPr/>
        <w:t>得税和递延所得税费用或收益计入当期损益。</w:t>
      </w:r>
    </w:p>
    <w:p>
      <w:pPr>
        <w:pStyle w:val="BodyText"/>
        <w:spacing w:line="273" w:lineRule="auto"/>
        <w:ind w:left="693" w:right="0"/>
        <w:jc w:val="left"/>
      </w:pPr>
      <w:r>
        <w:rPr/>
        <w:t>（4）所得税的抵销</w:t>
      </w:r>
      <w:r>
        <w:rPr>
          <w:w w:val="100"/>
        </w:rPr>
        <w:t> </w:t>
      </w:r>
      <w:r>
        <w:rPr>
          <w:spacing w:val="-2"/>
        </w:rPr>
        <w:t>当拥有以净额结算的法定权利，且意图以净额结算或取得资产、清偿负债同时进行时，本公司</w:t>
      </w:r>
    </w:p>
    <w:p>
      <w:pPr>
        <w:pStyle w:val="BodyText"/>
        <w:spacing w:line="273" w:lineRule="auto"/>
        <w:ind w:left="693" w:right="0" w:hanging="421"/>
        <w:jc w:val="left"/>
      </w:pPr>
      <w:r>
        <w:rPr/>
        <w:t>当期所得税资产及当期所得税负债以抵销后的净额列报。</w:t>
      </w:r>
      <w:r>
        <w:rPr>
          <w:w w:val="100"/>
        </w:rPr>
        <w:t> </w:t>
      </w:r>
      <w:r>
        <w:rPr>
          <w:spacing w:val="-2"/>
        </w:rPr>
        <w:t>当拥有以净额结算当期所得税资产及当期所得税负债的法定权利，且递延所得税资产及递延所</w:t>
      </w:r>
    </w:p>
    <w:p>
      <w:pPr>
        <w:pStyle w:val="BodyText"/>
        <w:spacing w:line="273" w:lineRule="auto"/>
        <w:ind w:left="273" w:right="253"/>
        <w:jc w:val="both"/>
      </w:pPr>
      <w:r>
        <w:rPr>
          <w:spacing w:val="-2"/>
        </w:rPr>
        <w:t>得税负债是与同一税收征管部门对同一纳税主体征收的所得税相关或者是对不同的纳税主体相关，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但在未来每一具有重要性的递延所得税资产及负债转回的期间内，涉及的纳税主体意图以净额结算</w:t>
      </w:r>
      <w:r>
        <w:rPr>
          <w:spacing w:val="-42"/>
        </w:rPr>
        <w:t> </w:t>
      </w:r>
      <w:r>
        <w:rPr>
          <w:spacing w:val="-42"/>
        </w:rPr>
      </w:r>
      <w:r>
        <w:rPr>
          <w:spacing w:val="-2"/>
        </w:rPr>
        <w:t>当期所得税资产和负债或是同时取得资产、清偿负债时，本公司递延所得税资产及递延所得税负债</w:t>
      </w:r>
      <w:r>
        <w:rPr>
          <w:spacing w:val="-46"/>
        </w:rPr>
        <w:t> </w:t>
      </w:r>
      <w:r>
        <w:rPr>
          <w:spacing w:val="-46"/>
        </w:rPr>
      </w:r>
      <w:r>
        <w:rPr/>
        <w:t>以抵销后的净额列报。</w:t>
      </w:r>
    </w:p>
    <w:p>
      <w:pPr>
        <w:spacing w:before="77"/>
        <w:ind w:left="695" w:right="0" w:firstLine="0"/>
        <w:jc w:val="left"/>
        <w:rPr>
          <w:rFonts w:ascii="宋体" w:hAnsi="宋体" w:cs="宋体" w:eastAsia="宋体" w:hint="default"/>
          <w:sz w:val="21"/>
          <w:szCs w:val="21"/>
        </w:rPr>
      </w:pPr>
      <w:r>
        <w:rPr>
          <w:rFonts w:ascii="宋体" w:hAnsi="宋体" w:cs="宋体" w:eastAsia="宋体" w:hint="default"/>
          <w:b/>
          <w:bCs/>
          <w:sz w:val="21"/>
          <w:szCs w:val="21"/>
        </w:rPr>
        <w:t>24、重要会计政策、会计估计的变更</w:t>
      </w:r>
      <w:r>
        <w:rPr>
          <w:rFonts w:ascii="宋体" w:hAnsi="宋体" w:cs="宋体" w:eastAsia="宋体" w:hint="default"/>
          <w:sz w:val="21"/>
          <w:szCs w:val="21"/>
        </w:rPr>
      </w:r>
    </w:p>
    <w:p>
      <w:pPr>
        <w:pStyle w:val="BodyText"/>
        <w:spacing w:line="240" w:lineRule="auto" w:before="22"/>
        <w:ind w:left="693" w:right="0"/>
        <w:jc w:val="left"/>
      </w:pPr>
      <w:r>
        <w:rPr/>
        <w:t>（1）会计政策变更</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970"/>
        <w:gridCol w:w="1843"/>
        <w:gridCol w:w="2501"/>
      </w:tblGrid>
      <w:tr>
        <w:trPr>
          <w:trHeight w:val="475"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2"/>
                <w:sz w:val="18"/>
                <w:szCs w:val="18"/>
              </w:rPr>
              <w:t>备注(受重要影响的报表项目</w:t>
            </w:r>
            <w:r>
              <w:rPr>
                <w:rFonts w:ascii="宋体" w:hAnsi="宋体" w:cs="宋体" w:eastAsia="宋体" w:hint="default"/>
                <w:spacing w:val="2"/>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名称和金额)</w:t>
            </w:r>
            <w:r>
              <w:rPr>
                <w:rFonts w:ascii="宋体" w:hAnsi="宋体" w:cs="宋体" w:eastAsia="宋体" w:hint="default"/>
                <w:sz w:val="18"/>
                <w:szCs w:val="18"/>
              </w:rPr>
            </w:r>
          </w:p>
        </w:tc>
      </w:tr>
      <w:tr>
        <w:trPr>
          <w:trHeight w:val="1222"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5" w:right="96"/>
              <w:jc w:val="both"/>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2"/>
                <w:sz w:val="18"/>
                <w:szCs w:val="18"/>
              </w:rPr>
              <w:t> </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日颁布的《企业会计准则第</w:t>
            </w:r>
            <w:r>
              <w:rPr>
                <w:rFonts w:ascii="宋体" w:hAnsi="宋体" w:cs="宋体" w:eastAsia="宋体" w:hint="default"/>
                <w:spacing w:val="-42"/>
                <w:sz w:val="18"/>
                <w:szCs w:val="18"/>
              </w:rPr>
              <w:t> </w:t>
            </w:r>
            <w:r>
              <w:rPr>
                <w:rFonts w:ascii="宋体" w:hAnsi="宋体" w:cs="宋体" w:eastAsia="宋体" w:hint="default"/>
                <w:sz w:val="18"/>
                <w:szCs w:val="18"/>
              </w:rPr>
              <w:t>16</w:t>
            </w:r>
            <w:r>
              <w:rPr>
                <w:rFonts w:ascii="宋体" w:hAnsi="宋体" w:cs="宋体" w:eastAsia="宋体" w:hint="default"/>
                <w:sz w:val="18"/>
                <w:szCs w:val="18"/>
              </w:rPr>
              <w:t> </w:t>
            </w:r>
            <w:r>
              <w:rPr>
                <w:rFonts w:ascii="宋体" w:hAnsi="宋体" w:cs="宋体" w:eastAsia="宋体" w:hint="default"/>
                <w:spacing w:val="-5"/>
                <w:sz w:val="18"/>
                <w:szCs w:val="18"/>
              </w:rPr>
              <w:t>号——政府补助》（2017），修改了政府补助会计处理方法及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列报项目。2017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z w:val="18"/>
                <w:szCs w:val="18"/>
              </w:rPr>
              <w:t> 年取得的政府补助适用修订后的准则。2017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日起未</w:t>
            </w:r>
            <w:r>
              <w:rPr>
                <w:rFonts w:ascii="宋体" w:hAnsi="宋体" w:cs="宋体" w:eastAsia="宋体" w:hint="default"/>
                <w:sz w:val="18"/>
                <w:szCs w:val="18"/>
              </w:rPr>
              <w:t> 来适用，不需对比较信息追溯调整。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5"/>
              <w:ind w:left="103" w:right="98"/>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宋体" w:hAnsi="宋体" w:cs="宋体" w:eastAsia="宋体" w:hint="default"/>
                <w:sz w:val="18"/>
                <w:szCs w:val="18"/>
              </w:rPr>
              <w:t>七</w:t>
            </w:r>
            <w:r>
              <w:rPr>
                <w:rFonts w:ascii="宋体" w:hAnsi="宋体" w:cs="宋体" w:eastAsia="宋体" w:hint="default"/>
                <w:spacing w:val="-64"/>
                <w:sz w:val="18"/>
                <w:szCs w:val="18"/>
              </w:rPr>
              <w:t> </w:t>
            </w:r>
            <w:r>
              <w:rPr>
                <w:rFonts w:ascii="宋体" w:hAnsi="宋体" w:cs="宋体" w:eastAsia="宋体" w:hint="default"/>
                <w:sz w:val="18"/>
                <w:szCs w:val="18"/>
              </w:rPr>
              <w:t>届</w:t>
            </w:r>
            <w:r>
              <w:rPr>
                <w:rFonts w:ascii="宋体" w:hAnsi="宋体" w:cs="宋体" w:eastAsia="宋体" w:hint="default"/>
                <w:spacing w:val="-64"/>
                <w:sz w:val="18"/>
                <w:szCs w:val="18"/>
              </w:rPr>
              <w:t> </w:t>
            </w:r>
            <w:r>
              <w:rPr>
                <w:rFonts w:ascii="宋体" w:hAnsi="宋体" w:cs="宋体" w:eastAsia="宋体" w:hint="default"/>
                <w:sz w:val="18"/>
                <w:szCs w:val="18"/>
              </w:rPr>
              <w:t>董</w:t>
            </w:r>
            <w:r>
              <w:rPr>
                <w:rFonts w:ascii="宋体" w:hAnsi="宋体" w:cs="宋体" w:eastAsia="宋体" w:hint="default"/>
                <w:spacing w:val="-64"/>
                <w:sz w:val="18"/>
                <w:szCs w:val="18"/>
              </w:rPr>
              <w:t> </w:t>
            </w:r>
            <w:r>
              <w:rPr>
                <w:rFonts w:ascii="宋体" w:hAnsi="宋体" w:cs="宋体" w:eastAsia="宋体" w:hint="default"/>
                <w:sz w:val="18"/>
                <w:szCs w:val="18"/>
              </w:rPr>
              <w:t>事</w:t>
            </w:r>
            <w:r>
              <w:rPr>
                <w:rFonts w:ascii="宋体" w:hAnsi="宋体" w:cs="宋体" w:eastAsia="宋体" w:hint="default"/>
                <w:spacing w:val="-64"/>
                <w:sz w:val="18"/>
                <w:szCs w:val="18"/>
              </w:rPr>
              <w:t> </w:t>
            </w:r>
            <w:r>
              <w:rPr>
                <w:rFonts w:ascii="宋体" w:hAnsi="宋体" w:cs="宋体" w:eastAsia="宋体" w:hint="default"/>
                <w:sz w:val="18"/>
                <w:szCs w:val="18"/>
              </w:rPr>
              <w:t>会</w:t>
            </w:r>
            <w:r>
              <w:rPr>
                <w:rFonts w:ascii="宋体" w:hAnsi="宋体" w:cs="宋体" w:eastAsia="宋体" w:hint="default"/>
                <w:sz w:val="18"/>
                <w:szCs w:val="18"/>
              </w:rPr>
              <w:t> 2018</w:t>
            </w:r>
            <w:r>
              <w:rPr>
                <w:rFonts w:ascii="宋体" w:hAnsi="宋体" w:cs="宋体" w:eastAsia="宋体" w:hint="default"/>
                <w:spacing w:val="16"/>
                <w:sz w:val="18"/>
                <w:szCs w:val="18"/>
              </w:rPr>
              <w:t> </w:t>
            </w:r>
            <w:r>
              <w:rPr>
                <w:rFonts w:ascii="宋体" w:hAnsi="宋体" w:cs="宋体" w:eastAsia="宋体" w:hint="default"/>
                <w:spacing w:val="13"/>
                <w:sz w:val="18"/>
                <w:szCs w:val="18"/>
              </w:rPr>
              <w:t>年第六次会议</w:t>
            </w:r>
            <w:r>
              <w:rPr>
                <w:rFonts w:ascii="宋体" w:hAnsi="宋体" w:cs="宋体" w:eastAsia="宋体" w:hint="default"/>
                <w:sz w:val="18"/>
                <w:szCs w:val="18"/>
              </w:rPr>
              <w:t> 批准</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日发布的《财政部关于修订印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pacing w:val="-64"/>
                <w:sz w:val="18"/>
                <w:szCs w:val="18"/>
              </w:rPr>
              <w:t> </w:t>
            </w: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宋体" w:hAnsi="宋体" w:cs="宋体" w:eastAsia="宋体" w:hint="default"/>
                <w:sz w:val="18"/>
                <w:szCs w:val="18"/>
              </w:rPr>
              <w:t>七</w:t>
            </w:r>
            <w:r>
              <w:rPr>
                <w:rFonts w:ascii="宋体" w:hAnsi="宋体" w:cs="宋体" w:eastAsia="宋体" w:hint="default"/>
                <w:spacing w:val="-64"/>
                <w:sz w:val="18"/>
                <w:szCs w:val="18"/>
              </w:rPr>
              <w:t> </w:t>
            </w:r>
            <w:r>
              <w:rPr>
                <w:rFonts w:ascii="宋体" w:hAnsi="宋体" w:cs="宋体" w:eastAsia="宋体" w:hint="default"/>
                <w:sz w:val="18"/>
                <w:szCs w:val="18"/>
              </w:rPr>
              <w:t>届</w:t>
            </w:r>
            <w:r>
              <w:rPr>
                <w:rFonts w:ascii="宋体" w:hAnsi="宋体" w:cs="宋体" w:eastAsia="宋体" w:hint="default"/>
                <w:spacing w:val="-64"/>
                <w:sz w:val="18"/>
                <w:szCs w:val="18"/>
              </w:rPr>
              <w:t> </w:t>
            </w:r>
            <w:r>
              <w:rPr>
                <w:rFonts w:ascii="宋体" w:hAnsi="宋体" w:cs="宋体" w:eastAsia="宋体" w:hint="default"/>
                <w:sz w:val="18"/>
                <w:szCs w:val="18"/>
              </w:rPr>
              <w:t>董</w:t>
            </w:r>
            <w:r>
              <w:rPr>
                <w:rFonts w:ascii="宋体" w:hAnsi="宋体" w:cs="宋体" w:eastAsia="宋体" w:hint="default"/>
                <w:spacing w:val="-64"/>
                <w:sz w:val="18"/>
                <w:szCs w:val="18"/>
              </w:rPr>
              <w:t> </w:t>
            </w:r>
            <w:r>
              <w:rPr>
                <w:rFonts w:ascii="宋体" w:hAnsi="宋体" w:cs="宋体" w:eastAsia="宋体" w:hint="default"/>
                <w:sz w:val="18"/>
                <w:szCs w:val="18"/>
              </w:rPr>
              <w:t>事</w:t>
            </w:r>
            <w:r>
              <w:rPr>
                <w:rFonts w:ascii="宋体" w:hAnsi="宋体" w:cs="宋体" w:eastAsia="宋体" w:hint="default"/>
                <w:spacing w:val="-64"/>
                <w:sz w:val="18"/>
                <w:szCs w:val="18"/>
              </w:rPr>
              <w:t> </w:t>
            </w:r>
            <w:r>
              <w:rPr>
                <w:rFonts w:ascii="宋体" w:hAnsi="宋体" w:cs="宋体" w:eastAsia="宋体" w:hint="default"/>
                <w:sz w:val="18"/>
                <w:szCs w:val="18"/>
              </w:rPr>
              <w:t>会</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884" w:footer="1219" w:top="1140" w:bottom="1400" w:left="1200" w:right="1140"/>
        </w:sectPr>
      </w:pPr>
    </w:p>
    <w:p>
      <w:pPr>
        <w:spacing w:line="240" w:lineRule="auto" w:before="0"/>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4970"/>
        <w:gridCol w:w="1843"/>
        <w:gridCol w:w="2501"/>
      </w:tblGrid>
      <w:tr>
        <w:trPr>
          <w:trHeight w:val="478"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2"/>
                <w:sz w:val="18"/>
                <w:szCs w:val="18"/>
              </w:rPr>
              <w:t>备注(受重要影响的报表项目</w:t>
            </w:r>
            <w:r>
              <w:rPr>
                <w:rFonts w:ascii="宋体" w:hAnsi="宋体" w:cs="宋体" w:eastAsia="宋体" w:hint="default"/>
                <w:spacing w:val="2"/>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名称和金额)</w:t>
            </w:r>
            <w:r>
              <w:rPr>
                <w:rFonts w:ascii="宋体" w:hAnsi="宋体" w:cs="宋体" w:eastAsia="宋体" w:hint="default"/>
                <w:sz w:val="18"/>
                <w:szCs w:val="18"/>
              </w:rPr>
            </w:r>
          </w:p>
        </w:tc>
      </w:tr>
      <w:tr>
        <w:trPr>
          <w:trHeight w:val="256" w:hRule="exact"/>
        </w:trPr>
        <w:tc>
          <w:tcPr>
            <w:tcW w:w="4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发一般企业财务报表格式的通知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[20</w:t>
            </w:r>
            <w:r>
              <w:rPr>
                <w:rFonts w:ascii="宋体" w:hAnsi="宋体" w:cs="宋体" w:eastAsia="宋体" w:hint="default"/>
                <w:sz w:val="18"/>
                <w:szCs w:val="18"/>
              </w:rPr>
              <w:t>17]</w:t>
            </w:r>
            <w:r>
              <w:rPr>
                <w:rFonts w:ascii="宋体" w:hAnsi="宋体" w:cs="宋体" w:eastAsia="宋体" w:hint="default"/>
                <w:spacing w:val="-3"/>
                <w:sz w:val="18"/>
                <w:szCs w:val="18"/>
              </w:rPr>
              <w:t>3</w:t>
            </w:r>
            <w:r>
              <w:rPr>
                <w:rFonts w:ascii="宋体" w:hAnsi="宋体" w:cs="宋体" w:eastAsia="宋体" w:hint="default"/>
                <w:sz w:val="18"/>
                <w:szCs w:val="18"/>
              </w:rPr>
              <w:t>0</w:t>
            </w:r>
            <w:r>
              <w:rPr>
                <w:rFonts w:ascii="宋体" w:hAnsi="宋体" w:cs="宋体" w:eastAsia="宋体"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将部</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16"/>
                <w:sz w:val="18"/>
                <w:szCs w:val="18"/>
              </w:rPr>
              <w:t> </w:t>
            </w:r>
            <w:r>
              <w:rPr>
                <w:rFonts w:ascii="宋体" w:hAnsi="宋体" w:cs="宋体" w:eastAsia="宋体" w:hint="default"/>
                <w:spacing w:val="13"/>
                <w:sz w:val="18"/>
                <w:szCs w:val="18"/>
              </w:rPr>
              <w:t>年第六次会议</w:t>
            </w:r>
          </w:p>
        </w:tc>
        <w:tc>
          <w:tcPr>
            <w:tcW w:w="250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资产处置收益：154,215.34</w:t>
            </w:r>
          </w:p>
        </w:tc>
      </w:tr>
      <w:tr>
        <w:trPr>
          <w:trHeight w:val="429" w:hRule="exact"/>
        </w:trPr>
        <w:tc>
          <w:tcPr>
            <w:tcW w:w="4970"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5" w:right="0"/>
              <w:jc w:val="left"/>
              <w:rPr>
                <w:rFonts w:ascii="宋体" w:hAnsi="宋体" w:cs="宋体" w:eastAsia="宋体" w:hint="default"/>
                <w:sz w:val="18"/>
                <w:szCs w:val="18"/>
              </w:rPr>
            </w:pPr>
            <w:r>
              <w:rPr>
                <w:rFonts w:ascii="宋体" w:hAnsi="宋体" w:cs="宋体" w:eastAsia="宋体" w:hint="default"/>
                <w:spacing w:val="2"/>
                <w:sz w:val="18"/>
                <w:szCs w:val="18"/>
              </w:rPr>
              <w:t>分原列示为“营业外收入”及“营业外支出”的资产处置损</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批准</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营业外收入：-180,690.01</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营业外支出：-26,474.67</w:t>
            </w:r>
          </w:p>
        </w:tc>
      </w:tr>
      <w:tr>
        <w:trPr>
          <w:trHeight w:val="252" w:hRule="exact"/>
        </w:trPr>
        <w:tc>
          <w:tcPr>
            <w:tcW w:w="4970"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5" w:right="0"/>
              <w:jc w:val="left"/>
              <w:rPr>
                <w:rFonts w:ascii="宋体" w:hAnsi="宋体" w:cs="宋体" w:eastAsia="宋体" w:hint="default"/>
                <w:sz w:val="18"/>
                <w:szCs w:val="18"/>
              </w:rPr>
            </w:pPr>
            <w:r>
              <w:rPr>
                <w:rFonts w:ascii="宋体" w:hAnsi="宋体" w:cs="宋体" w:eastAsia="宋体" w:hint="default"/>
                <w:sz w:val="18"/>
                <w:szCs w:val="18"/>
              </w:rPr>
              <w:t>益调整至资产处置收益列报。</w:t>
            </w:r>
          </w:p>
        </w:tc>
        <w:tc>
          <w:tcPr>
            <w:tcW w:w="1843" w:type="dxa"/>
            <w:tcBorders>
              <w:top w:val="nil" w:sz="6" w:space="0" w:color="auto"/>
              <w:left w:val="single" w:sz="4" w:space="0" w:color="000000"/>
              <w:bottom w:val="nil" w:sz="6" w:space="0" w:color="auto"/>
              <w:right w:val="single" w:sz="4" w:space="0" w:color="000000"/>
            </w:tcBorders>
          </w:tcPr>
          <w:p>
            <w:pP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34" w:hRule="exact"/>
        </w:trPr>
        <w:tc>
          <w:tcPr>
            <w:tcW w:w="497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资产处置收益：-245,657.82</w:t>
            </w:r>
          </w:p>
        </w:tc>
      </w:tr>
      <w:tr>
        <w:trPr>
          <w:trHeight w:val="234" w:hRule="exact"/>
        </w:trPr>
        <w:tc>
          <w:tcPr>
            <w:tcW w:w="4970"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营业外支入：-332,673.59</w:t>
            </w:r>
          </w:p>
        </w:tc>
      </w:tr>
      <w:tr>
        <w:trPr>
          <w:trHeight w:val="239" w:hRule="exact"/>
        </w:trPr>
        <w:tc>
          <w:tcPr>
            <w:tcW w:w="4970"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250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营业外收出：-578,331.41</w:t>
            </w:r>
          </w:p>
        </w:tc>
      </w:tr>
    </w:tbl>
    <w:p>
      <w:pPr>
        <w:pStyle w:val="BodyText"/>
        <w:spacing w:line="273" w:lineRule="auto" w:before="81"/>
        <w:ind w:left="693" w:right="7076"/>
        <w:jc w:val="left"/>
      </w:pPr>
      <w:r>
        <w:rPr>
          <w:spacing w:val="-1"/>
        </w:rPr>
        <w:t>（2）会计估计变更</w:t>
      </w:r>
      <w:r>
        <w:rPr>
          <w:spacing w:val="-95"/>
        </w:rPr>
        <w:t> </w:t>
      </w:r>
      <w:r>
        <w:rPr>
          <w:spacing w:val="-95"/>
        </w:rPr>
      </w:r>
      <w:r>
        <w:rPr/>
        <w:t>无</w:t>
      </w:r>
    </w:p>
    <w:p>
      <w:pPr>
        <w:pStyle w:val="BodyText"/>
        <w:spacing w:line="273" w:lineRule="auto"/>
        <w:ind w:left="693" w:right="7076"/>
        <w:jc w:val="left"/>
      </w:pPr>
      <w:r>
        <w:rPr>
          <w:spacing w:val="-1"/>
        </w:rPr>
        <w:t>（3）会计差错更正</w:t>
      </w:r>
      <w:r>
        <w:rPr>
          <w:spacing w:val="-95"/>
        </w:rPr>
        <w:t> </w:t>
      </w:r>
      <w:r>
        <w:rPr>
          <w:spacing w:val="-95"/>
        </w:rPr>
      </w:r>
      <w:r>
        <w:rPr/>
        <w:t>无</w:t>
      </w:r>
    </w:p>
    <w:p>
      <w:pPr>
        <w:spacing w:line="273" w:lineRule="auto" w:before="101"/>
        <w:ind w:left="693" w:right="0" w:firstLine="2"/>
        <w:jc w:val="left"/>
        <w:rPr>
          <w:rFonts w:ascii="宋体" w:hAnsi="宋体" w:cs="宋体" w:eastAsia="宋体" w:hint="default"/>
          <w:sz w:val="21"/>
          <w:szCs w:val="21"/>
        </w:rPr>
      </w:pPr>
      <w:r>
        <w:rPr>
          <w:rFonts w:ascii="宋体" w:hAnsi="宋体" w:cs="宋体" w:eastAsia="宋体" w:hint="default"/>
          <w:b/>
          <w:bCs/>
          <w:sz w:val="21"/>
          <w:szCs w:val="21"/>
        </w:rPr>
        <w:t>25、重大会计判断和估计</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本公司在运用会计政策过程中，由于经营活动内在的不确定性，本公司需要对无法准确计量的</w:t>
      </w:r>
    </w:p>
    <w:p>
      <w:pPr>
        <w:pStyle w:val="BodyText"/>
        <w:spacing w:line="273" w:lineRule="auto"/>
        <w:ind w:left="273" w:right="270"/>
        <w:jc w:val="both"/>
      </w:pPr>
      <w:r>
        <w:rPr>
          <w:spacing w:val="-2"/>
        </w:rPr>
        <w:t>报表项目的账面价值进行判断、估计和假设。这些判断、估计和假设是基于本公司管理层过去的历</w:t>
      </w:r>
      <w:r>
        <w:rPr>
          <w:spacing w:val="-46"/>
        </w:rPr>
        <w:t> </w:t>
      </w:r>
      <w:r>
        <w:rPr>
          <w:spacing w:val="-46"/>
        </w:rPr>
      </w:r>
      <w:r>
        <w:rPr>
          <w:spacing w:val="-2"/>
        </w:rPr>
        <w:t>史经验，并在考虑其他相关因素的基础上做出的。这些判断、估计和假设会影响收入、费用、资产</w:t>
      </w:r>
      <w:r>
        <w:rPr>
          <w:spacing w:val="-50"/>
        </w:rPr>
        <w:t> </w:t>
      </w:r>
      <w:r>
        <w:rPr>
          <w:spacing w:val="-50"/>
        </w:rPr>
      </w:r>
      <w:r>
        <w:rPr>
          <w:spacing w:val="-2"/>
        </w:rPr>
        <w:t>和负债的报告金额以及资产负债表日或有负债的披露。然而，这些估计的不确定性所导致的实际结</w:t>
      </w:r>
      <w:r>
        <w:rPr>
          <w:spacing w:val="-42"/>
        </w:rPr>
        <w:t> </w:t>
      </w:r>
      <w:r>
        <w:rPr>
          <w:spacing w:val="-42"/>
        </w:rPr>
      </w:r>
      <w:r>
        <w:rPr>
          <w:spacing w:val="-2"/>
        </w:rPr>
        <w:t>果可能与本公司管理层当前的估计存在差异，进而造成对未来受影响的资产或负债的账面金额进行</w:t>
      </w:r>
      <w:r>
        <w:rPr>
          <w:spacing w:val="-42"/>
        </w:rPr>
        <w:t> </w:t>
      </w:r>
      <w:r>
        <w:rPr>
          <w:spacing w:val="-42"/>
        </w:rPr>
      </w:r>
      <w:r>
        <w:rPr/>
        <w:t>重大调整。</w:t>
      </w:r>
    </w:p>
    <w:p>
      <w:pPr>
        <w:pStyle w:val="BodyText"/>
        <w:spacing w:line="273" w:lineRule="auto" w:before="8"/>
        <w:ind w:left="273" w:right="272" w:firstLine="420"/>
        <w:jc w:val="both"/>
      </w:pPr>
      <w:r>
        <w:rPr>
          <w:spacing w:val="-2"/>
        </w:rPr>
        <w:t>本公司对前述判断、估计和假设在持续经营的基础上进行定期复核，会计估计的变更仅影响变</w:t>
      </w:r>
      <w:r>
        <w:rPr>
          <w:w w:val="100"/>
        </w:rPr>
        <w:t> </w:t>
      </w:r>
      <w:r>
        <w:rPr>
          <w:spacing w:val="-2"/>
        </w:rPr>
        <w:t>更当期的，其影响数在变更当期予以确认；既影响变更当期又影响未来期间的，其影响数在变更当</w:t>
      </w:r>
      <w:r>
        <w:rPr>
          <w:spacing w:val="-47"/>
        </w:rPr>
        <w:t> </w:t>
      </w:r>
      <w:r>
        <w:rPr>
          <w:spacing w:val="-47"/>
        </w:rPr>
      </w:r>
      <w:r>
        <w:rPr/>
        <w:t>期和未来期间予以确认。</w:t>
      </w:r>
    </w:p>
    <w:p>
      <w:pPr>
        <w:pStyle w:val="BodyText"/>
        <w:spacing w:line="240" w:lineRule="auto"/>
        <w:ind w:left="693" w:right="0"/>
        <w:jc w:val="left"/>
      </w:pPr>
      <w:r>
        <w:rPr/>
        <w:t>于资产负债表日，本公司需对财务报表项目金额进行判断、估计和假设的重要领域如下：</w:t>
      </w:r>
    </w:p>
    <w:p>
      <w:pPr>
        <w:pStyle w:val="BodyText"/>
        <w:spacing w:line="273" w:lineRule="auto" w:before="37"/>
        <w:ind w:left="693" w:right="0"/>
        <w:jc w:val="left"/>
      </w:pPr>
      <w:r>
        <w:rPr/>
        <w:t>（1）坏账准备计提</w:t>
      </w:r>
      <w:r>
        <w:rPr>
          <w:w w:val="100"/>
        </w:rPr>
        <w:t> </w:t>
      </w:r>
      <w:r>
        <w:rPr>
          <w:spacing w:val="-2"/>
        </w:rPr>
        <w:t>本公司根据应收款项的会计政策，采用备抵法核算坏账损失。应收账款减值是基于评估应收账</w:t>
      </w:r>
    </w:p>
    <w:p>
      <w:pPr>
        <w:pStyle w:val="BodyText"/>
        <w:spacing w:line="273" w:lineRule="auto"/>
        <w:ind w:left="273" w:right="272"/>
        <w:jc w:val="both"/>
      </w:pPr>
      <w:r>
        <w:rPr>
          <w:spacing w:val="-2"/>
        </w:rPr>
        <w:t>款的可收回性。鉴定应收账款减值要求管理层的判断和估计。实际的结果与原先估计的差异将在估</w:t>
      </w:r>
      <w:r>
        <w:rPr>
          <w:spacing w:val="-47"/>
        </w:rPr>
        <w:t> </w:t>
      </w:r>
      <w:r>
        <w:rPr>
          <w:spacing w:val="-47"/>
        </w:rPr>
      </w:r>
      <w:r>
        <w:rPr/>
        <w:t>计被改变的期间影响应收账款的账面价值及应收账款坏账准备的计提或转回。</w:t>
      </w:r>
    </w:p>
    <w:p>
      <w:pPr>
        <w:pStyle w:val="BodyText"/>
        <w:spacing w:line="273" w:lineRule="auto" w:before="8"/>
        <w:ind w:left="693" w:right="0"/>
        <w:jc w:val="left"/>
      </w:pPr>
      <w:r>
        <w:rPr/>
        <w:t>（2）存货跌价准备</w:t>
      </w:r>
      <w:r>
        <w:rPr>
          <w:w w:val="100"/>
        </w:rPr>
        <w:t> </w:t>
      </w:r>
      <w:r>
        <w:rPr>
          <w:spacing w:val="-2"/>
        </w:rPr>
        <w:t>本公司根据存货会计政策，按照成本与可变现净值孰低计量，对成本高于可变现净值及陈旧和</w:t>
      </w:r>
    </w:p>
    <w:p>
      <w:pPr>
        <w:pStyle w:val="BodyText"/>
        <w:spacing w:line="273" w:lineRule="auto"/>
        <w:ind w:left="273" w:right="0"/>
        <w:jc w:val="left"/>
      </w:pPr>
      <w:r>
        <w:rPr>
          <w:spacing w:val="-5"/>
        </w:rPr>
        <w:t>滞销的存货，计提存货跌价准备。存货减值至可变现净值是基于评估存货的可售性及其可变现净值。</w:t>
      </w:r>
      <w:r>
        <w:rPr>
          <w:spacing w:val="-16"/>
        </w:rPr>
        <w:t> </w:t>
      </w:r>
      <w:r>
        <w:rPr>
          <w:spacing w:val="-16"/>
        </w:rPr>
      </w:r>
      <w:r>
        <w:rPr/>
        <w:t>鉴定存货减值要求管理层在取得确凿证据，并且考虑持有存货的目的、资产负债表日后事项的影响</w:t>
      </w:r>
      <w:r>
        <w:rPr>
          <w:w w:val="100"/>
        </w:rPr>
        <w:t> </w:t>
      </w:r>
      <w:r>
        <w:rPr/>
        <w:t>等因素的基础上做出判断和估计。实际的结果与原先估计的差异将在估计被改变的期间影响存货的</w:t>
      </w:r>
      <w:r>
        <w:rPr>
          <w:w w:val="100"/>
        </w:rPr>
        <w:t> </w:t>
      </w:r>
      <w:r>
        <w:rPr/>
        <w:t>账面价值及存货跌价准备的计提或转回。</w:t>
      </w:r>
    </w:p>
    <w:p>
      <w:pPr>
        <w:pStyle w:val="BodyText"/>
        <w:spacing w:line="273" w:lineRule="auto"/>
        <w:ind w:left="693" w:right="0"/>
        <w:jc w:val="left"/>
      </w:pPr>
      <w:r>
        <w:rPr/>
        <w:t>（3）持有至到期投资</w:t>
      </w:r>
      <w:r>
        <w:rPr>
          <w:w w:val="100"/>
        </w:rPr>
        <w:t> </w:t>
      </w:r>
      <w:r>
        <w:rPr>
          <w:spacing w:val="2"/>
        </w:rPr>
        <w:t>本公司将符合条件的有固定或可确定还款金额和固定到期日且本公司有明确意图和能力持有</w:t>
      </w:r>
    </w:p>
    <w:p>
      <w:pPr>
        <w:pStyle w:val="BodyText"/>
        <w:spacing w:line="273" w:lineRule="auto"/>
        <w:ind w:left="273" w:right="270"/>
        <w:jc w:val="both"/>
      </w:pPr>
      <w:r>
        <w:rPr>
          <w:spacing w:val="-2"/>
        </w:rPr>
        <w:t>至到期的非衍生金融资产归类为持有至到期投资。进行此项归类工作需涉及大量的判断。在进行判</w:t>
      </w:r>
      <w:r>
        <w:rPr>
          <w:spacing w:val="-42"/>
        </w:rPr>
        <w:t> </w:t>
      </w:r>
      <w:r>
        <w:rPr>
          <w:spacing w:val="-42"/>
        </w:rPr>
      </w:r>
      <w:r>
        <w:rPr>
          <w:spacing w:val="-2"/>
        </w:rPr>
        <w:t>断的过程中，本公司会对其持有该类投资至到期日的意愿和能力进行评估。除特定情况外（例如在</w:t>
      </w:r>
      <w:r>
        <w:rPr>
          <w:spacing w:val="-46"/>
        </w:rPr>
        <w:t> </w:t>
      </w:r>
      <w:r>
        <w:rPr>
          <w:spacing w:val="-46"/>
        </w:rPr>
      </w:r>
      <w:r>
        <w:rPr>
          <w:spacing w:val="-2"/>
          <w:w w:val="100"/>
        </w:rPr>
        <w:t>接近到期日时出售金额不重大的投资），如果本公司未能将这些投资持有至到期日，则须将全部该</w:t>
      </w:r>
      <w:r>
        <w:rPr>
          <w:spacing w:val="-92"/>
          <w:w w:val="100"/>
        </w:rPr>
        <w:t> </w:t>
      </w:r>
      <w:r>
        <w:rPr>
          <w:spacing w:val="-92"/>
          <w:w w:val="100"/>
        </w:rPr>
      </w:r>
      <w:r>
        <w:rPr>
          <w:spacing w:val="-2"/>
        </w:rPr>
        <w:t>类投资重分类至可供出售金融资产，且在本会计年度及以后两个完整的会计年度内不得再将该金融</w:t>
      </w:r>
      <w:r>
        <w:rPr>
          <w:spacing w:val="-42"/>
        </w:rPr>
        <w:t> </w:t>
      </w:r>
      <w:r>
        <w:rPr>
          <w:spacing w:val="-42"/>
        </w:rPr>
      </w:r>
      <w:r>
        <w:rPr>
          <w:spacing w:val="-2"/>
        </w:rPr>
        <w:t>资产划分为持有至到期投资。如出现此类情况，可能对财务报表上所列报的相关金融资产价值产生</w:t>
      </w:r>
      <w:r>
        <w:rPr>
          <w:spacing w:val="-44"/>
        </w:rPr>
        <w:t> </w:t>
      </w:r>
      <w:r>
        <w:rPr>
          <w:spacing w:val="-44"/>
        </w:rPr>
      </w:r>
      <w:r>
        <w:rPr/>
        <w:t>重大的影响，并且可能影响本公司的金融工具风险管理策略。</w:t>
      </w:r>
    </w:p>
    <w:p>
      <w:pPr>
        <w:pStyle w:val="BodyText"/>
        <w:spacing w:line="273" w:lineRule="auto" w:before="8"/>
        <w:ind w:left="693" w:right="0"/>
        <w:jc w:val="left"/>
      </w:pPr>
      <w:r>
        <w:rPr/>
        <w:t>（4）持有至到期投资减值</w:t>
      </w:r>
      <w:r>
        <w:rPr>
          <w:w w:val="100"/>
        </w:rPr>
        <w:t> </w:t>
      </w:r>
      <w:r>
        <w:rPr>
          <w:spacing w:val="-2"/>
        </w:rPr>
        <w:t>本公司确定持有至到期投资是否减值在很大程度上依赖于管理层的判断。发生减值的客观证据</w:t>
      </w:r>
    </w:p>
    <w:p>
      <w:pPr>
        <w:pStyle w:val="BodyText"/>
        <w:spacing w:line="273" w:lineRule="auto"/>
        <w:ind w:left="273" w:right="253"/>
        <w:jc w:val="both"/>
      </w:pPr>
      <w:r>
        <w:rPr>
          <w:spacing w:val="-2"/>
        </w:rPr>
        <w:t>包括发行方发生严重财务困难使该金融资产无法在活跃市场继续交易、无法履行合同条款（例如，</w:t>
      </w:r>
      <w:r>
        <w:rPr>
          <w:spacing w:val="-25"/>
        </w:rPr>
        <w:t> </w:t>
      </w:r>
      <w:r>
        <w:rPr>
          <w:spacing w:val="-25"/>
        </w:rPr>
      </w:r>
      <w:r>
        <w:rPr>
          <w:spacing w:val="-2"/>
        </w:rPr>
        <w:t>偿付利息或本金发生违约）等。在进行判断的过程中，本公司需评估发生减值的客观证据对该项投</w:t>
      </w:r>
    </w:p>
    <w:p>
      <w:pPr>
        <w:spacing w:after="0" w:line="273" w:lineRule="auto"/>
        <w:jc w:val="both"/>
        <w:sectPr>
          <w:pgSz w:w="11910" w:h="16840"/>
          <w:pgMar w:header="884" w:footer="1219" w:top="1140" w:bottom="1400" w:left="1200" w:right="1140"/>
        </w:sectPr>
      </w:pPr>
    </w:p>
    <w:p>
      <w:pPr>
        <w:pStyle w:val="BodyText"/>
        <w:spacing w:line="240" w:lineRule="auto" w:before="131"/>
        <w:ind w:left="253" w:right="0"/>
        <w:jc w:val="both"/>
      </w:pPr>
      <w:r>
        <w:rPr/>
        <w:t>资预计未来现金流的影响。</w:t>
      </w:r>
    </w:p>
    <w:p>
      <w:pPr>
        <w:pStyle w:val="BodyText"/>
        <w:spacing w:line="273" w:lineRule="auto" w:before="37"/>
        <w:ind w:left="673" w:right="0"/>
        <w:jc w:val="left"/>
      </w:pPr>
      <w:r>
        <w:rPr/>
        <w:t>（5）可供出售金融资产减值</w:t>
      </w:r>
      <w:r>
        <w:rPr>
          <w:w w:val="100"/>
        </w:rPr>
        <w:t> </w:t>
      </w:r>
      <w:r>
        <w:rPr>
          <w:spacing w:val="-2"/>
        </w:rPr>
        <w:t>本公司确定可供出售金融资产是否减值在很大程度上依赖于管理层的判断和假设，以确定是否</w:t>
      </w:r>
    </w:p>
    <w:p>
      <w:pPr>
        <w:pStyle w:val="BodyText"/>
        <w:spacing w:line="273" w:lineRule="auto"/>
        <w:ind w:left="253" w:right="310"/>
        <w:jc w:val="both"/>
      </w:pPr>
      <w:r>
        <w:rPr>
          <w:spacing w:val="-2"/>
        </w:rPr>
        <w:t>需要在利润表中确认其减值损失。在进行判断和做出假设的过程中，本公司需评估该项投资的公允</w:t>
      </w:r>
      <w:r>
        <w:rPr>
          <w:spacing w:val="-45"/>
        </w:rPr>
        <w:t> </w:t>
      </w:r>
      <w:r>
        <w:rPr>
          <w:spacing w:val="-45"/>
        </w:rPr>
      </w:r>
      <w:r>
        <w:rPr>
          <w:spacing w:val="-2"/>
        </w:rPr>
        <w:t>价值低于成本的程度和持续期间，以及被投资对象的财务状况和短期业务展望，包括行业状况、技</w:t>
      </w:r>
      <w:r>
        <w:rPr>
          <w:spacing w:val="-43"/>
        </w:rPr>
        <w:t> </w:t>
      </w:r>
      <w:r>
        <w:rPr>
          <w:spacing w:val="-43"/>
        </w:rPr>
      </w:r>
      <w:r>
        <w:rPr/>
        <w:t>术变革、信用评级、违约率和对手方的风险。</w:t>
      </w:r>
    </w:p>
    <w:p>
      <w:pPr>
        <w:pStyle w:val="BodyText"/>
        <w:spacing w:line="273" w:lineRule="auto"/>
        <w:ind w:left="673" w:right="0"/>
        <w:jc w:val="left"/>
      </w:pPr>
      <w:r>
        <w:rPr/>
        <w:t>（6）非金融非流动资产减值准备</w:t>
      </w:r>
      <w:r>
        <w:rPr>
          <w:w w:val="100"/>
        </w:rPr>
        <w:t> </w:t>
      </w:r>
      <w:r>
        <w:rPr>
          <w:spacing w:val="-2"/>
        </w:rPr>
        <w:t>本公司于资产负债表日对除金融资产之外的非流动资产判断是否存在可能发生减值的迹象。对</w:t>
      </w:r>
    </w:p>
    <w:p>
      <w:pPr>
        <w:pStyle w:val="BodyText"/>
        <w:spacing w:line="273" w:lineRule="auto"/>
        <w:ind w:left="253" w:right="293"/>
        <w:jc w:val="both"/>
      </w:pPr>
      <w:r>
        <w:rPr>
          <w:spacing w:val="-2"/>
        </w:rPr>
        <w:t>使用寿命不确定的无形资产，除每年进行的减值测试外，当其存在减值迹象时，也进行减值测试。</w:t>
      </w:r>
      <w:r>
        <w:rPr>
          <w:spacing w:val="-26"/>
        </w:rPr>
        <w:t> </w:t>
      </w:r>
      <w:r>
        <w:rPr>
          <w:spacing w:val="-26"/>
        </w:rPr>
      </w:r>
      <w:r>
        <w:rPr/>
        <w:t>其他除金融资产之外的非流动资产，当存在迹象表明其账面金额不可收回时，进行减值测试。</w:t>
      </w:r>
    </w:p>
    <w:p>
      <w:pPr>
        <w:pStyle w:val="BodyText"/>
        <w:spacing w:line="273" w:lineRule="auto"/>
        <w:ind w:left="253" w:right="310" w:firstLine="420"/>
        <w:jc w:val="both"/>
      </w:pPr>
      <w:r>
        <w:rPr>
          <w:spacing w:val="-2"/>
        </w:rPr>
        <w:t>当资产或资产组的账面价值高于可收回金额，即公允价值减去处置费用后的净额和预计未来现</w:t>
      </w:r>
      <w:r>
        <w:rPr>
          <w:w w:val="100"/>
        </w:rPr>
        <w:t> </w:t>
      </w:r>
      <w:r>
        <w:rPr/>
        <w:t>金流量的现值中的较高者，表明发生了减值。</w:t>
      </w:r>
    </w:p>
    <w:p>
      <w:pPr>
        <w:pStyle w:val="BodyText"/>
        <w:spacing w:line="273" w:lineRule="auto" w:before="8"/>
        <w:ind w:left="253" w:right="310" w:firstLine="420"/>
        <w:jc w:val="both"/>
      </w:pPr>
      <w:r>
        <w:rPr>
          <w:spacing w:val="-2"/>
        </w:rPr>
        <w:t>公允价值减去处置费用后的净额，参考公平交易中类似资产的销售协议价格或可观察到的市场</w:t>
      </w:r>
      <w:r>
        <w:rPr>
          <w:w w:val="100"/>
        </w:rPr>
        <w:t> </w:t>
      </w:r>
      <w:r>
        <w:rPr/>
        <w:t>价格，减去可直接归属于该资产处置的增量成本确定。</w:t>
      </w:r>
    </w:p>
    <w:p>
      <w:pPr>
        <w:pStyle w:val="BodyText"/>
        <w:spacing w:line="273" w:lineRule="auto"/>
        <w:ind w:left="253" w:right="310" w:firstLine="420"/>
        <w:jc w:val="both"/>
      </w:pPr>
      <w:r>
        <w:rPr>
          <w:spacing w:val="-2"/>
        </w:rPr>
        <w:t>在预计未来现金流量现值时，需要对该资产（或资产组）的产量、售价、相关经营成本以及计</w:t>
      </w:r>
      <w:r>
        <w:rPr>
          <w:w w:val="100"/>
        </w:rPr>
        <w:t> </w:t>
      </w:r>
      <w:r>
        <w:rPr>
          <w:spacing w:val="-2"/>
        </w:rPr>
        <w:t>算现值时使用的折现率等做出重大判断。本公司在估计可收回金额时会采用所有能够获得的相关资</w:t>
      </w:r>
      <w:r>
        <w:rPr>
          <w:spacing w:val="-42"/>
        </w:rPr>
        <w:t> </w:t>
      </w:r>
      <w:r>
        <w:rPr>
          <w:spacing w:val="-42"/>
        </w:rPr>
      </w:r>
      <w:r>
        <w:rPr/>
        <w:t>料，包括根据合理和可支持的假设所做出有关产量、售价和相关经营成本的预测。</w:t>
      </w:r>
    </w:p>
    <w:p>
      <w:pPr>
        <w:pStyle w:val="BodyText"/>
        <w:spacing w:line="273" w:lineRule="auto"/>
        <w:ind w:left="253" w:right="310" w:firstLine="420"/>
        <w:jc w:val="both"/>
      </w:pPr>
      <w:r>
        <w:rPr>
          <w:spacing w:val="-2"/>
        </w:rPr>
        <w:t>本公司至少每年测试商誉是否发生减值。这要求对分配了商誉的资产组或者资产组组合的未来</w:t>
      </w:r>
      <w:r>
        <w:rPr>
          <w:w w:val="100"/>
        </w:rPr>
        <w:t> </w:t>
      </w:r>
      <w:r>
        <w:rPr>
          <w:spacing w:val="-2"/>
        </w:rPr>
        <w:t>现金流量的现值进行预计。对未来现金流量的现值进行预计时，本公司需要预计未来资产组或者资</w:t>
      </w:r>
      <w:r>
        <w:rPr>
          <w:spacing w:val="-46"/>
        </w:rPr>
        <w:t> </w:t>
      </w:r>
      <w:r>
        <w:rPr>
          <w:spacing w:val="-46"/>
        </w:rPr>
      </w:r>
      <w:r>
        <w:rPr/>
        <w:t>产组组合产生的现金流量，同时选择恰当的折现率确定未来现金流量的现值。</w:t>
      </w:r>
    </w:p>
    <w:p>
      <w:pPr>
        <w:pStyle w:val="BodyText"/>
        <w:spacing w:line="273" w:lineRule="auto" w:before="8"/>
        <w:ind w:left="673" w:right="0"/>
        <w:jc w:val="left"/>
      </w:pPr>
      <w:r>
        <w:rPr/>
        <w:t>（7）折旧和摊销</w:t>
      </w:r>
      <w:r>
        <w:rPr>
          <w:w w:val="100"/>
        </w:rPr>
        <w:t> </w:t>
      </w:r>
      <w:r>
        <w:rPr>
          <w:spacing w:val="-2"/>
        </w:rPr>
        <w:t>本公司对投资性房地产、固定资产和无形资产在考虑其残值后，在使用寿命内按直线法计提折</w:t>
      </w:r>
    </w:p>
    <w:p>
      <w:pPr>
        <w:pStyle w:val="BodyText"/>
        <w:spacing w:line="273" w:lineRule="auto"/>
        <w:ind w:left="253" w:right="312"/>
        <w:jc w:val="both"/>
      </w:pPr>
      <w:r>
        <w:rPr>
          <w:spacing w:val="-2"/>
        </w:rPr>
        <w:t>旧和摊销。本公司定期复核使用寿命，以决定将计入每个报告期的折旧和摊销费用数额。使用寿命</w:t>
      </w:r>
      <w:r>
        <w:rPr>
          <w:spacing w:val="-46"/>
        </w:rPr>
        <w:t> </w:t>
      </w:r>
      <w:r>
        <w:rPr>
          <w:spacing w:val="-46"/>
        </w:rPr>
      </w:r>
      <w:r>
        <w:rPr/>
        <w:t>是本公司根据对同类资产的以往经验并结合预期的技术更新而确定的。</w:t>
      </w:r>
    </w:p>
    <w:p>
      <w:pPr>
        <w:pStyle w:val="BodyText"/>
        <w:spacing w:line="240" w:lineRule="auto"/>
        <w:ind w:left="673" w:right="713"/>
        <w:jc w:val="left"/>
      </w:pPr>
      <w:r>
        <w:rPr/>
        <w:t>如果以前的估计发生重大变化，则会在未来期间对折旧和摊销费用进行调整。</w:t>
      </w:r>
    </w:p>
    <w:p>
      <w:pPr>
        <w:pStyle w:val="BodyText"/>
        <w:spacing w:line="273" w:lineRule="auto" w:before="37"/>
        <w:ind w:left="673" w:right="0"/>
        <w:jc w:val="left"/>
      </w:pPr>
      <w:r>
        <w:rPr/>
        <w:t>（8）所得税</w:t>
      </w:r>
      <w:r>
        <w:rPr>
          <w:w w:val="100"/>
        </w:rPr>
        <w:t> </w:t>
      </w:r>
      <w:r>
        <w:rPr>
          <w:spacing w:val="-2"/>
        </w:rPr>
        <w:t>本公司在正常的经营活动中，有部分交易其最终的税务处理和计算存在一定的不确定性。部分</w:t>
      </w:r>
    </w:p>
    <w:p>
      <w:pPr>
        <w:pStyle w:val="BodyText"/>
        <w:spacing w:line="273" w:lineRule="auto" w:before="8"/>
        <w:ind w:left="253" w:right="310"/>
        <w:jc w:val="both"/>
      </w:pPr>
      <w:r>
        <w:rPr>
          <w:spacing w:val="-2"/>
        </w:rPr>
        <w:t>项目是否能够在税前列支需要税收主管机关的审批。如果这些税务事项的最终认定结果同最初估计</w:t>
      </w:r>
      <w:r>
        <w:rPr>
          <w:spacing w:val="-42"/>
        </w:rPr>
        <w:t> </w:t>
      </w:r>
      <w:r>
        <w:rPr>
          <w:spacing w:val="-42"/>
        </w:rPr>
      </w:r>
      <w:r>
        <w:rPr/>
        <w:t>的金额存在差异，则该差异将对其最终认定期间的当期所得税和递延所得税产生影响。</w:t>
      </w:r>
    </w:p>
    <w:p>
      <w:pPr>
        <w:pStyle w:val="BodyText"/>
        <w:spacing w:line="273" w:lineRule="auto"/>
        <w:ind w:left="673" w:right="0"/>
        <w:jc w:val="left"/>
      </w:pPr>
      <w:r>
        <w:rPr/>
        <w:t>（9）内部退养福利及补充退休福利</w:t>
      </w:r>
      <w:r>
        <w:rPr>
          <w:w w:val="100"/>
        </w:rPr>
        <w:t> </w:t>
      </w:r>
      <w:r>
        <w:rPr/>
        <w:t>本公司内部退养福利和补充退休福利费用支出及负债的金额依据各种假设条件确定。</w:t>
      </w:r>
      <w:r>
        <w:rPr>
          <w:w w:val="100"/>
        </w:rPr>
        <w:t> </w:t>
      </w:r>
      <w:r>
        <w:rPr>
          <w:spacing w:val="-5"/>
        </w:rPr>
        <w:t>这些假设条件包括折现率、平均医疗费用增长率、内退人员及离退人员补贴增长率和其他因素。</w:t>
      </w:r>
    </w:p>
    <w:p>
      <w:pPr>
        <w:pStyle w:val="BodyText"/>
        <w:spacing w:line="273" w:lineRule="auto"/>
        <w:ind w:left="253" w:right="293"/>
        <w:jc w:val="both"/>
      </w:pPr>
      <w:r>
        <w:rPr>
          <w:spacing w:val="-2"/>
        </w:rPr>
        <w:t>实际结果和假设的差异将在发生时立即确认并计入当年费用。尽管管理层认为已采用了合理假设，</w:t>
      </w:r>
      <w:r>
        <w:rPr>
          <w:spacing w:val="-25"/>
        </w:rPr>
        <w:t> </w:t>
      </w:r>
      <w:r>
        <w:rPr>
          <w:spacing w:val="-25"/>
        </w:rPr>
      </w:r>
      <w:r>
        <w:rPr>
          <w:spacing w:val="-2"/>
        </w:rPr>
        <w:t>但实际经验值及假设条件的变化仍将影响本公司内部退养福利和补充退休福利的费用及负债余额。</w:t>
      </w:r>
    </w:p>
    <w:p>
      <w:pPr>
        <w:spacing w:line="240" w:lineRule="auto" w:before="8"/>
        <w:rPr>
          <w:rFonts w:ascii="宋体" w:hAnsi="宋体" w:cs="宋体" w:eastAsia="宋体" w:hint="default"/>
          <w:sz w:val="22"/>
          <w:szCs w:val="22"/>
        </w:rPr>
      </w:pPr>
    </w:p>
    <w:p>
      <w:pPr>
        <w:spacing w:line="321" w:lineRule="auto" w:before="0"/>
        <w:ind w:left="673" w:right="7116" w:firstLine="2"/>
        <w:jc w:val="left"/>
        <w:rPr>
          <w:rFonts w:ascii="宋体" w:hAnsi="宋体" w:cs="宋体" w:eastAsia="宋体" w:hint="default"/>
          <w:sz w:val="21"/>
          <w:szCs w:val="21"/>
        </w:rPr>
      </w:pPr>
      <w:r>
        <w:rPr>
          <w:rFonts w:ascii="宋体" w:hAnsi="宋体" w:cs="宋体" w:eastAsia="宋体" w:hint="default"/>
          <w:b/>
          <w:bCs/>
          <w:sz w:val="21"/>
          <w:szCs w:val="21"/>
        </w:rPr>
        <w:t>五、税项</w:t>
      </w:r>
      <w:r>
        <w:rPr>
          <w:rFonts w:ascii="宋体" w:hAnsi="宋体" w:cs="宋体" w:eastAsia="宋体" w:hint="default"/>
          <w:b/>
          <w:bCs/>
          <w:w w:val="100"/>
          <w:sz w:val="21"/>
          <w:szCs w:val="21"/>
        </w:rPr>
        <w:t> </w:t>
      </w:r>
      <w:r>
        <w:rPr>
          <w:rFonts w:ascii="宋体" w:hAnsi="宋体" w:cs="宋体" w:eastAsia="宋体" w:hint="default"/>
          <w:spacing w:val="-1"/>
          <w:sz w:val="21"/>
          <w:szCs w:val="21"/>
        </w:rPr>
        <w:t>1、主要税种及税率</w:t>
      </w:r>
    </w:p>
    <w:tbl>
      <w:tblPr>
        <w:tblW w:w="0" w:type="auto"/>
        <w:jc w:val="left"/>
        <w:tblInd w:w="107" w:type="dxa"/>
        <w:tblLayout w:type="fixed"/>
        <w:tblCellMar>
          <w:top w:w="0" w:type="dxa"/>
          <w:left w:w="0" w:type="dxa"/>
          <w:bottom w:w="0" w:type="dxa"/>
          <w:right w:w="0" w:type="dxa"/>
        </w:tblCellMar>
        <w:tblLook w:val="01E0"/>
      </w:tblPr>
      <w:tblGrid>
        <w:gridCol w:w="2693"/>
        <w:gridCol w:w="6662"/>
      </w:tblGrid>
      <w:tr>
        <w:trPr>
          <w:trHeight w:val="35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2"/>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具体税率情况</w:t>
            </w:r>
            <w:r>
              <w:rPr>
                <w:rFonts w:ascii="宋体" w:hAnsi="宋体" w:cs="宋体" w:eastAsia="宋体" w:hint="default"/>
                <w:sz w:val="18"/>
                <w:szCs w:val="18"/>
              </w:rPr>
            </w:r>
          </w:p>
        </w:tc>
      </w:tr>
      <w:tr>
        <w:trPr>
          <w:trHeight w:val="71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应税收入按17%、11%、6%的税率计算销项税，并按扣除当期允许抵扣的进项税额后</w:t>
            </w:r>
          </w:p>
          <w:p>
            <w:pPr>
              <w:pStyle w:val="TableParagraph"/>
              <w:spacing w:line="232" w:lineRule="exact" w:before="23"/>
              <w:ind w:left="103" w:right="1865"/>
              <w:jc w:val="left"/>
              <w:rPr>
                <w:rFonts w:ascii="宋体" w:hAnsi="宋体" w:cs="宋体" w:eastAsia="宋体" w:hint="default"/>
                <w:sz w:val="18"/>
                <w:szCs w:val="18"/>
              </w:rPr>
            </w:pPr>
            <w:r>
              <w:rPr>
                <w:rFonts w:ascii="宋体" w:hAnsi="宋体" w:cs="宋体" w:eastAsia="宋体" w:hint="default"/>
                <w:sz w:val="18"/>
                <w:szCs w:val="18"/>
              </w:rPr>
              <w:t>的差额计缴增值税。 按简易征收办法计算的应税收入按3%的税率计算销项税额。</w:t>
            </w:r>
          </w:p>
        </w:tc>
      </w:tr>
      <w:tr>
        <w:trPr>
          <w:trHeight w:val="35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按实际缴纳的流转税的7%、5%计缴。</w:t>
            </w:r>
          </w:p>
        </w:tc>
      </w:tr>
      <w:tr>
        <w:trPr>
          <w:trHeight w:val="348"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按实际缴纳的流转税的3%计缴。</w:t>
            </w:r>
          </w:p>
        </w:tc>
      </w:tr>
      <w:tr>
        <w:trPr>
          <w:trHeight w:val="35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按实际缴纳的流转税的2%计缴。</w:t>
            </w:r>
          </w:p>
        </w:tc>
      </w:tr>
      <w:tr>
        <w:trPr>
          <w:trHeight w:val="35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按应纳税所得额的25%、15%计缴。</w:t>
            </w:r>
          </w:p>
        </w:tc>
      </w:tr>
    </w:tbl>
    <w:p>
      <w:pPr>
        <w:spacing w:after="0" w:line="240" w:lineRule="auto"/>
        <w:jc w:val="left"/>
        <w:rPr>
          <w:rFonts w:ascii="宋体" w:hAnsi="宋体" w:cs="宋体" w:eastAsia="宋体" w:hint="default"/>
          <w:sz w:val="18"/>
          <w:szCs w:val="18"/>
        </w:rPr>
        <w:sectPr>
          <w:pgSz w:w="11910" w:h="16840"/>
          <w:pgMar w:header="884" w:footer="1219" w:top="1140" w:bottom="1400" w:left="1220" w:right="1100"/>
        </w:sectPr>
      </w:pPr>
    </w:p>
    <w:p>
      <w:pPr>
        <w:spacing w:line="240" w:lineRule="auto" w:before="12"/>
        <w:rPr>
          <w:rFonts w:ascii="宋体" w:hAnsi="宋体" w:cs="宋体" w:eastAsia="宋体" w:hint="default"/>
          <w:sz w:val="13"/>
          <w:szCs w:val="13"/>
        </w:rPr>
      </w:pPr>
    </w:p>
    <w:p>
      <w:pPr>
        <w:pStyle w:val="BodyText"/>
        <w:spacing w:line="240" w:lineRule="auto" w:before="36"/>
        <w:ind w:left="673" w:right="713"/>
        <w:jc w:val="left"/>
      </w:pPr>
      <w:r>
        <w:rPr/>
        <w:t>企业所得税税率</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394"/>
        <w:gridCol w:w="4961"/>
      </w:tblGrid>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茂业通信网络股份有限公司</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25%</w:t>
            </w:r>
          </w:p>
        </w:tc>
      </w:tr>
      <w:tr>
        <w:trPr>
          <w:trHeight w:val="348"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sz w:val="18"/>
              </w:rPr>
              <w:t>15%</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15%</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北京东方博星科技有限责任公司</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15%</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新疆漫道通信科技有限公司</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五年内免征</w:t>
            </w:r>
          </w:p>
        </w:tc>
      </w:tr>
    </w:tbl>
    <w:p>
      <w:pPr>
        <w:spacing w:line="240" w:lineRule="auto" w:before="5"/>
        <w:rPr>
          <w:rFonts w:ascii="宋体" w:hAnsi="宋体" w:cs="宋体" w:eastAsia="宋体" w:hint="default"/>
          <w:sz w:val="15"/>
          <w:szCs w:val="15"/>
        </w:rPr>
      </w:pPr>
    </w:p>
    <w:p>
      <w:pPr>
        <w:pStyle w:val="BodyText"/>
        <w:spacing w:line="272" w:lineRule="exact" w:before="64"/>
        <w:ind w:left="673" w:right="0" w:firstLine="2"/>
        <w:jc w:val="left"/>
      </w:pPr>
      <w:r>
        <w:rPr>
          <w:rFonts w:ascii="宋体" w:hAnsi="宋体" w:cs="宋体" w:eastAsia="宋体" w:hint="default"/>
          <w:b/>
          <w:bCs/>
        </w:rPr>
        <w:t>2、税收优惠及批文</w:t>
      </w:r>
      <w:r>
        <w:rPr>
          <w:rFonts w:ascii="宋体" w:hAnsi="宋体" w:cs="宋体" w:eastAsia="宋体" w:hint="default"/>
          <w:b/>
          <w:bCs/>
          <w:w w:val="100"/>
        </w:rPr>
        <w:t> </w:t>
      </w:r>
      <w:r>
        <w:rPr>
          <w:spacing w:val="-6"/>
          <w:w w:val="100"/>
        </w:rPr>
        <w:t>子公司长实科技获得高新技术企业认证，并已获取《高新技术企业证书》（GR201544000046），</w:t>
      </w:r>
    </w:p>
    <w:p>
      <w:pPr>
        <w:pStyle w:val="BodyText"/>
        <w:spacing w:line="272" w:lineRule="exact" w:before="1"/>
        <w:ind w:left="253" w:right="0"/>
        <w:jc w:val="left"/>
      </w:pPr>
      <w:r>
        <w:rPr/>
        <w:t>根据《中华人民共和国企业所得税法》的规定，本公司2017年度享受高新技术企业减按15%税率优</w:t>
      </w:r>
      <w:r>
        <w:rPr>
          <w:spacing w:val="-22"/>
        </w:rPr>
        <w:t> </w:t>
      </w:r>
      <w:r>
        <w:rPr>
          <w:spacing w:val="-22"/>
        </w:rPr>
      </w:r>
      <w:r>
        <w:rPr/>
        <w:t>惠征收企业所得税的政策。</w:t>
      </w:r>
    </w:p>
    <w:p>
      <w:pPr>
        <w:pStyle w:val="BodyText"/>
        <w:spacing w:line="272" w:lineRule="exact" w:before="1"/>
        <w:ind w:left="253" w:right="310" w:firstLine="420"/>
        <w:jc w:val="both"/>
      </w:pPr>
      <w:r>
        <w:rPr/>
        <w:t>子公司创世漫道于2016年12月1日获得北京市科学技术委员会、北京市财政局、北京市国家税</w:t>
      </w:r>
      <w:r>
        <w:rPr>
          <w:w w:val="100"/>
        </w:rPr>
        <w:t> </w:t>
      </w:r>
      <w:r>
        <w:rPr>
          <w:spacing w:val="-6"/>
        </w:rPr>
        <w:t>务局、北京市地方税务局联合颁发的《高新技术企业证书》(证书编号：GR201611000127)，根据《中</w:t>
      </w:r>
    </w:p>
    <w:p>
      <w:pPr>
        <w:pStyle w:val="BodyText"/>
        <w:spacing w:line="249" w:lineRule="exact" w:before="0"/>
        <w:ind w:left="253" w:right="0"/>
        <w:jc w:val="left"/>
      </w:pPr>
      <w:r>
        <w:rPr/>
        <w:t>华人民共和国企业所得税法》的规定，创世漫道2017年度按15%税率优惠征收企业所得税的政策。</w:t>
      </w:r>
    </w:p>
    <w:p>
      <w:pPr>
        <w:pStyle w:val="BodyText"/>
        <w:spacing w:line="273" w:lineRule="auto" w:before="20"/>
        <w:ind w:left="253" w:right="312" w:firstLine="420"/>
        <w:jc w:val="both"/>
      </w:pPr>
      <w:r>
        <w:rPr/>
        <w:t>孙子公司北京东方博星科技有限责任公司于</w:t>
      </w:r>
      <w:r>
        <w:rPr>
          <w:spacing w:val="-39"/>
        </w:rPr>
        <w:t> </w:t>
      </w:r>
      <w:r>
        <w:rPr/>
        <w:t>2015</w:t>
      </w:r>
      <w:r>
        <w:rPr>
          <w:spacing w:val="-42"/>
        </w:rPr>
        <w:t> </w:t>
      </w:r>
      <w:r>
        <w:rPr/>
        <w:t>年</w:t>
      </w:r>
      <w:r>
        <w:rPr>
          <w:spacing w:val="-39"/>
        </w:rPr>
        <w:t> </w:t>
      </w:r>
      <w:r>
        <w:rPr/>
        <w:t>11</w:t>
      </w:r>
      <w:r>
        <w:rPr>
          <w:spacing w:val="-39"/>
        </w:rPr>
        <w:t> </w:t>
      </w:r>
      <w:r>
        <w:rPr/>
        <w:t>月</w:t>
      </w:r>
      <w:r>
        <w:rPr>
          <w:spacing w:val="-42"/>
        </w:rPr>
        <w:t> </w:t>
      </w:r>
      <w:r>
        <w:rPr/>
        <w:t>24</w:t>
      </w:r>
      <w:r>
        <w:rPr>
          <w:spacing w:val="-39"/>
        </w:rPr>
        <w:t> </w:t>
      </w:r>
      <w:r>
        <w:rPr/>
        <w:t>日获得北京市科学技术委员会、</w:t>
      </w:r>
      <w:r>
        <w:rPr>
          <w:w w:val="100"/>
        </w:rPr>
        <w:t> </w:t>
      </w:r>
      <w:r>
        <w:rPr/>
        <w:t>北京市财政局、北京市国家税务局、北京市地方税务局联合颁发的《高新技术企业证书》(证书编</w:t>
      </w:r>
      <w:r>
        <w:rPr>
          <w:spacing w:val="-24"/>
        </w:rPr>
        <w:t> </w:t>
      </w:r>
      <w:r>
        <w:rPr>
          <w:spacing w:val="-24"/>
        </w:rPr>
      </w:r>
      <w:r>
        <w:rPr>
          <w:spacing w:val="-5"/>
          <w:w w:val="100"/>
        </w:rPr>
        <w:t>号：GR201511003811），根据《中华人民共和国企业所得税法》的规定，</w:t>
      </w:r>
      <w:r>
        <w:rPr>
          <w:spacing w:val="10"/>
          <w:w w:val="100"/>
        </w:rPr>
        <w:t> </w:t>
      </w:r>
      <w:r>
        <w:rPr>
          <w:spacing w:val="-1"/>
          <w:w w:val="100"/>
        </w:rPr>
        <w:t>2017</w:t>
      </w:r>
      <w:r>
        <w:rPr>
          <w:spacing w:val="-46"/>
          <w:w w:val="100"/>
        </w:rPr>
        <w:t> </w:t>
      </w:r>
      <w:r>
        <w:rPr>
          <w:spacing w:val="-1"/>
          <w:w w:val="100"/>
        </w:rPr>
        <w:t>年度按</w:t>
      </w:r>
      <w:r>
        <w:rPr>
          <w:spacing w:val="-46"/>
          <w:w w:val="100"/>
        </w:rPr>
        <w:t> </w:t>
      </w:r>
      <w:r>
        <w:rPr>
          <w:spacing w:val="-2"/>
          <w:w w:val="100"/>
        </w:rPr>
        <w:t>15%税率优惠</w:t>
      </w:r>
      <w:r>
        <w:rPr>
          <w:spacing w:val="-102"/>
          <w:w w:val="100"/>
        </w:rPr>
        <w:t> </w:t>
      </w:r>
      <w:r>
        <w:rPr>
          <w:spacing w:val="-102"/>
          <w:w w:val="100"/>
        </w:rPr>
      </w:r>
      <w:r>
        <w:rPr/>
        <w:t>征收企业所得税的政策。</w:t>
      </w:r>
    </w:p>
    <w:p>
      <w:pPr>
        <w:pStyle w:val="BodyText"/>
        <w:spacing w:line="272" w:lineRule="exact" w:before="11"/>
        <w:ind w:left="253" w:right="310" w:firstLine="420"/>
        <w:jc w:val="both"/>
      </w:pPr>
      <w:r>
        <w:rPr>
          <w:spacing w:val="2"/>
        </w:rPr>
        <w:t>孙子公司新疆漫通信科技有限公司于2017年5月9日取得了霍尔果斯经济开发区国家税务局签</w:t>
      </w:r>
      <w:r>
        <w:rPr>
          <w:w w:val="100"/>
        </w:rPr>
        <w:t> </w:t>
      </w:r>
      <w:r>
        <w:rPr>
          <w:spacing w:val="-7"/>
          <w:w w:val="100"/>
        </w:rPr>
        <w:t>发的《企业所得税优惠事项备案表》，依据《财政部</w:t>
      </w:r>
      <w:r>
        <w:rPr>
          <w:spacing w:val="18"/>
          <w:w w:val="100"/>
        </w:rPr>
        <w:t> </w:t>
      </w:r>
      <w:r>
        <w:rPr>
          <w:spacing w:val="-2"/>
          <w:w w:val="100"/>
        </w:rPr>
        <w:t>国家税务总局关于新疆喀什霍尔果斯两个特殊</w:t>
      </w:r>
    </w:p>
    <w:p>
      <w:pPr>
        <w:pStyle w:val="BodyText"/>
        <w:spacing w:line="272" w:lineRule="exact" w:before="1"/>
        <w:ind w:left="253" w:right="0"/>
        <w:jc w:val="left"/>
      </w:pPr>
      <w:r>
        <w:rPr/>
        <w:t>经济开发区企业所得税优惠政策的通知》财税[2011]112号，自2017年1月1日至2020年12月31日免</w:t>
      </w:r>
      <w:r>
        <w:rPr>
          <w:spacing w:val="-21"/>
        </w:rPr>
        <w:t> </w:t>
      </w:r>
      <w:r>
        <w:rPr>
          <w:spacing w:val="-21"/>
        </w:rPr>
      </w:r>
      <w:r>
        <w:rPr/>
        <w:t>征企业所得税。</w:t>
      </w:r>
    </w:p>
    <w:p>
      <w:pPr>
        <w:spacing w:line="240" w:lineRule="auto" w:before="9"/>
        <w:rPr>
          <w:rFonts w:ascii="宋体" w:hAnsi="宋体" w:cs="宋体" w:eastAsia="宋体" w:hint="default"/>
          <w:sz w:val="18"/>
          <w:szCs w:val="18"/>
        </w:rPr>
      </w:pPr>
    </w:p>
    <w:p>
      <w:pPr>
        <w:spacing w:line="259" w:lineRule="auto" w:before="0"/>
        <w:ind w:left="673" w:right="309" w:firstLine="2"/>
        <w:jc w:val="left"/>
        <w:rPr>
          <w:rFonts w:ascii="宋体" w:hAnsi="宋体" w:cs="宋体" w:eastAsia="宋体" w:hint="default"/>
          <w:sz w:val="21"/>
          <w:szCs w:val="21"/>
        </w:rPr>
      </w:pPr>
      <w:r>
        <w:rPr>
          <w:rFonts w:ascii="宋体" w:hAnsi="宋体" w:cs="宋体" w:eastAsia="宋体" w:hint="default"/>
          <w:b/>
          <w:bCs/>
          <w:sz w:val="21"/>
          <w:szCs w:val="21"/>
        </w:rPr>
        <w:t>六、合并财务报表项目注释</w:t>
      </w:r>
      <w:r>
        <w:rPr>
          <w:rFonts w:ascii="宋体" w:hAnsi="宋体" w:cs="宋体" w:eastAsia="宋体" w:hint="default"/>
          <w:b/>
          <w:bCs/>
          <w:w w:val="100"/>
          <w:sz w:val="21"/>
          <w:szCs w:val="21"/>
        </w:rPr>
        <w:t> </w:t>
      </w:r>
      <w:r>
        <w:rPr>
          <w:rFonts w:ascii="宋体" w:hAnsi="宋体" w:cs="宋体" w:eastAsia="宋体" w:hint="default"/>
          <w:sz w:val="21"/>
          <w:szCs w:val="21"/>
        </w:rPr>
        <w:t>以下注释项目（含公司财务报表主要项目注释）除非特别指出，年初指</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日，期</w:t>
      </w:r>
    </w:p>
    <w:p>
      <w:pPr>
        <w:pStyle w:val="BodyText"/>
        <w:spacing w:line="333" w:lineRule="auto" w:before="20"/>
        <w:ind w:left="675" w:right="2987" w:hanging="423"/>
        <w:jc w:val="left"/>
        <w:rPr>
          <w:rFonts w:ascii="宋体" w:hAnsi="宋体" w:cs="宋体" w:eastAsia="宋体" w:hint="default"/>
        </w:rPr>
      </w:pPr>
      <w:r>
        <w:rPr/>
        <w:pict>
          <v:shape style="position:absolute;margin-left:66.360001pt;margin-top:35.461979pt;width:468.5pt;height:88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0"/>
                    <w:gridCol w:w="2599"/>
                    <w:gridCol w:w="2906"/>
                  </w:tblGrid>
                  <w:tr>
                    <w:trPr>
                      <w:trHeight w:val="35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64,490.51</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82,301.34</w:t>
                        </w:r>
                      </w:p>
                    </w:tc>
                  </w:tr>
                  <w:tr>
                    <w:trPr>
                      <w:trHeight w:val="35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334,687,683.25</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w w:val="95"/>
                            <w:sz w:val="18"/>
                          </w:rPr>
                          <w:t>330,832,031.74</w:t>
                        </w:r>
                      </w:p>
                    </w:tc>
                  </w:tr>
                  <w:tr>
                    <w:trPr>
                      <w:trHeight w:val="348"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10,305,697.97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7,300,387.22</w:t>
                        </w:r>
                      </w:p>
                    </w:tc>
                  </w:tr>
                  <w:tr>
                    <w:trPr>
                      <w:trHeight w:val="35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345,057,871.73</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338,214,720.30</w:t>
                        </w:r>
                      </w:p>
                    </w:tc>
                  </w:tr>
                </w:tbl>
                <w:p>
                  <w:pPr/>
                </w:p>
              </w:txbxContent>
            </v:textbox>
            <w10:wrap type="none"/>
          </v:shape>
        </w:pict>
      </w:r>
      <w:r>
        <w:rPr/>
        <w:t>末指</w:t>
      </w:r>
      <w:r>
        <w:rPr>
          <w:spacing w:val="-54"/>
        </w:rPr>
        <w:t> </w:t>
      </w:r>
      <w:r>
        <w:rPr/>
        <w:t>2017</w:t>
      </w:r>
      <w:r>
        <w:rPr>
          <w:spacing w:val="-56"/>
        </w:rPr>
        <w:t> </w:t>
      </w:r>
      <w:r>
        <w:rPr/>
        <w:t>年</w:t>
      </w:r>
      <w:r>
        <w:rPr>
          <w:spacing w:val="-54"/>
        </w:rPr>
        <w:t> </w:t>
      </w:r>
      <w:r>
        <w:rPr/>
        <w:t>12</w:t>
      </w:r>
      <w:r>
        <w:rPr>
          <w:spacing w:val="-56"/>
        </w:rPr>
        <w:t> </w:t>
      </w:r>
      <w:r>
        <w:rPr/>
        <w:t>月</w:t>
      </w:r>
      <w:r>
        <w:rPr>
          <w:spacing w:val="-54"/>
        </w:rPr>
        <w:t> </w:t>
      </w:r>
      <w:r>
        <w:rPr/>
        <w:t>31</w:t>
      </w:r>
      <w:r>
        <w:rPr>
          <w:spacing w:val="-54"/>
        </w:rPr>
        <w:t> </w:t>
      </w:r>
      <w:r>
        <w:rPr/>
        <w:t>日，本期指</w:t>
      </w:r>
      <w:r>
        <w:rPr>
          <w:spacing w:val="-54"/>
        </w:rPr>
        <w:t> </w:t>
      </w:r>
      <w:r>
        <w:rPr/>
        <w:t>2017</w:t>
      </w:r>
      <w:r>
        <w:rPr>
          <w:spacing w:val="-54"/>
        </w:rPr>
        <w:t> </w:t>
      </w:r>
      <w:r>
        <w:rPr/>
        <w:t>年度，上期指</w:t>
      </w:r>
      <w:r>
        <w:rPr>
          <w:spacing w:val="-54"/>
        </w:rPr>
        <w:t> </w:t>
      </w:r>
      <w:r>
        <w:rPr/>
        <w:t>2016</w:t>
      </w:r>
      <w:r>
        <w:rPr>
          <w:spacing w:val="-54"/>
        </w:rPr>
        <w:t> </w:t>
      </w:r>
      <w:r>
        <w:rPr/>
        <w:t>年度。</w:t>
      </w:r>
      <w:r>
        <w:rPr>
          <w:w w:val="100"/>
        </w:rPr>
        <w:t> </w:t>
      </w:r>
      <w:r>
        <w:rPr>
          <w:rFonts w:ascii="宋体" w:hAnsi="宋体" w:cs="宋体" w:eastAsia="宋体" w:hint="default"/>
          <w:b/>
          <w:bCs/>
        </w:rPr>
        <w:t>1、货币资金</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line="321" w:lineRule="auto" w:before="0"/>
        <w:ind w:left="675" w:right="0" w:hanging="3"/>
        <w:jc w:val="left"/>
        <w:rPr>
          <w:rFonts w:ascii="宋体" w:hAnsi="宋体" w:cs="宋体" w:eastAsia="宋体" w:hint="default"/>
          <w:sz w:val="21"/>
          <w:szCs w:val="21"/>
        </w:rPr>
      </w:pPr>
      <w:r>
        <w:rPr>
          <w:rFonts w:ascii="宋体" w:hAnsi="宋体" w:cs="宋体" w:eastAsia="宋体" w:hint="default"/>
          <w:spacing w:val="-2"/>
          <w:sz w:val="21"/>
          <w:szCs w:val="21"/>
        </w:rPr>
        <w:t>注：本公司其他货币资金共计10,305,697.97元，均为子公司长实科技投标所需保函保证金。</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b/>
          <w:bCs/>
          <w:sz w:val="21"/>
          <w:szCs w:val="21"/>
        </w:rPr>
        <w:t>2、以公允价值计量且其变动计入当期损益的金融资产</w:t>
      </w:r>
      <w:r>
        <w:rPr>
          <w:rFonts w:ascii="宋体" w:hAnsi="宋体" w:cs="宋体" w:eastAsia="宋体" w:hint="default"/>
          <w:sz w:val="21"/>
          <w:szCs w:val="21"/>
        </w:rPr>
      </w:r>
    </w:p>
    <w:p>
      <w:pPr>
        <w:pStyle w:val="BodyText"/>
        <w:spacing w:line="224" w:lineRule="exact" w:before="0"/>
        <w:ind w:left="673" w:right="713"/>
        <w:jc w:val="left"/>
      </w:pPr>
      <w:r>
        <w:rPr/>
        <w:t>（1）分类</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1"/>
        <w:gridCol w:w="1745"/>
        <w:gridCol w:w="1810"/>
      </w:tblGrid>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4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宋体" w:hAnsi="宋体" w:cs="宋体" w:eastAsia="宋体" w:hint="default"/>
                <w:sz w:val="18"/>
                <w:szCs w:val="18"/>
              </w:rPr>
            </w:pPr>
            <w:r>
              <w:rPr>
                <w:rFonts w:ascii="宋体"/>
                <w:sz w:val="18"/>
              </w:rPr>
              <w:t>30,104,182.24</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指定为以公允价值计量且其变动计入当期损益的金融资产</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219" w:top="1140" w:bottom="1400" w:left="1220" w:right="1100"/>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801"/>
        <w:gridCol w:w="1745"/>
        <w:gridCol w:w="1810"/>
      </w:tblGrid>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669"/>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0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4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714"/>
              <w:jc w:val="right"/>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3" w:right="0"/>
              <w:jc w:val="left"/>
              <w:rPr>
                <w:rFonts w:ascii="宋体" w:hAnsi="宋体" w:cs="宋体" w:eastAsia="宋体" w:hint="default"/>
                <w:sz w:val="18"/>
                <w:szCs w:val="18"/>
              </w:rPr>
            </w:pPr>
            <w:r>
              <w:rPr>
                <w:rFonts w:ascii="宋体"/>
                <w:sz w:val="18"/>
              </w:rPr>
              <w:t>30,104,182.24</w:t>
            </w:r>
          </w:p>
        </w:tc>
        <w:tc>
          <w:tcPr>
            <w:tcW w:w="18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673" w:right="713"/>
        <w:jc w:val="left"/>
      </w:pPr>
      <w:r>
        <w:rPr/>
        <w:t>（2）其他说明</w:t>
      </w:r>
    </w:p>
    <w:p>
      <w:pPr>
        <w:pStyle w:val="BodyText"/>
        <w:spacing w:line="240" w:lineRule="auto" w:before="37"/>
        <w:ind w:left="673" w:right="0"/>
        <w:jc w:val="left"/>
      </w:pPr>
      <w:r>
        <w:rPr/>
        <w:t>创世漫道在</w:t>
      </w:r>
      <w:r>
        <w:rPr>
          <w:spacing w:val="-46"/>
        </w:rPr>
        <w:t> </w:t>
      </w:r>
      <w:r>
        <w:rPr/>
        <w:t>2017</w:t>
      </w:r>
      <w:r>
        <w:rPr>
          <w:spacing w:val="-49"/>
        </w:rPr>
        <w:t> </w:t>
      </w:r>
      <w:r>
        <w:rPr/>
        <w:t>年</w:t>
      </w:r>
      <w:r>
        <w:rPr>
          <w:spacing w:val="-49"/>
        </w:rPr>
        <w:t> </w:t>
      </w:r>
      <w:r>
        <w:rPr/>
        <w:t>12</w:t>
      </w:r>
      <w:r>
        <w:rPr>
          <w:spacing w:val="-49"/>
        </w:rPr>
        <w:t> </w:t>
      </w:r>
      <w:r>
        <w:rPr/>
        <w:t>月</w:t>
      </w:r>
      <w:r>
        <w:rPr>
          <w:spacing w:val="-49"/>
        </w:rPr>
        <w:t> </w:t>
      </w:r>
      <w:r>
        <w:rPr/>
        <w:t>7</w:t>
      </w:r>
      <w:r>
        <w:rPr>
          <w:spacing w:val="-46"/>
        </w:rPr>
        <w:t> </w:t>
      </w:r>
      <w:r>
        <w:rPr/>
        <w:t>日申购了长城货币</w:t>
      </w:r>
      <w:r>
        <w:rPr>
          <w:spacing w:val="-49"/>
        </w:rPr>
        <w:t> </w:t>
      </w:r>
      <w:r>
        <w:rPr/>
        <w:t>B</w:t>
      </w:r>
      <w:r>
        <w:rPr>
          <w:spacing w:val="-46"/>
        </w:rPr>
        <w:t> </w:t>
      </w:r>
      <w:r>
        <w:rPr/>
        <w:t>开放式基金，截止</w:t>
      </w:r>
      <w:r>
        <w:rPr>
          <w:spacing w:val="-46"/>
        </w:rPr>
        <w:t> </w:t>
      </w:r>
      <w:r>
        <w:rPr/>
        <w:t>2017</w:t>
      </w:r>
      <w:r>
        <w:rPr>
          <w:spacing w:val="-49"/>
        </w:rPr>
        <w:t> </w:t>
      </w:r>
      <w:r>
        <w:rPr/>
        <w:t>年</w:t>
      </w:r>
      <w:r>
        <w:rPr>
          <w:spacing w:val="-49"/>
        </w:rPr>
        <w:t> </w:t>
      </w:r>
      <w:r>
        <w:rPr/>
        <w:t>12</w:t>
      </w:r>
      <w:r>
        <w:rPr>
          <w:spacing w:val="-49"/>
        </w:rPr>
        <w:t> </w:t>
      </w:r>
      <w:r>
        <w:rPr/>
        <w:t>月</w:t>
      </w:r>
      <w:r>
        <w:rPr>
          <w:spacing w:val="-46"/>
        </w:rPr>
        <w:t> </w:t>
      </w:r>
      <w:r>
        <w:rPr/>
        <w:t>31</w:t>
      </w:r>
      <w:r>
        <w:rPr>
          <w:spacing w:val="-46"/>
        </w:rPr>
        <w:t> </w:t>
      </w:r>
      <w:r>
        <w:rPr/>
        <w:t>日基金市</w:t>
      </w:r>
    </w:p>
    <w:p>
      <w:pPr>
        <w:pStyle w:val="BodyText"/>
        <w:spacing w:line="240" w:lineRule="auto" w:before="37"/>
        <w:ind w:left="237" w:right="7210"/>
        <w:jc w:val="center"/>
      </w:pPr>
      <w:r>
        <w:rPr/>
        <w:t>值</w:t>
      </w:r>
      <w:r>
        <w:rPr>
          <w:spacing w:val="-54"/>
        </w:rPr>
        <w:t> </w:t>
      </w:r>
      <w:r>
        <w:rPr/>
        <w:t>30,104,182.24</w:t>
      </w:r>
      <w:r>
        <w:rPr>
          <w:spacing w:val="-54"/>
        </w:rPr>
        <w:t> </w:t>
      </w:r>
      <w:r>
        <w:rPr/>
        <w:t>元。</w:t>
      </w:r>
    </w:p>
    <w:p>
      <w:pPr>
        <w:spacing w:before="107"/>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3、应收票据</w:t>
      </w:r>
      <w:r>
        <w:rPr>
          <w:rFonts w:ascii="宋体" w:hAnsi="宋体" w:cs="宋体" w:eastAsia="宋体" w:hint="default"/>
          <w:sz w:val="21"/>
          <w:szCs w:val="21"/>
        </w:rPr>
      </w:r>
    </w:p>
    <w:p>
      <w:pPr>
        <w:pStyle w:val="BodyText"/>
        <w:spacing w:line="240" w:lineRule="auto" w:before="20"/>
        <w:ind w:left="673" w:right="713"/>
        <w:jc w:val="left"/>
      </w:pPr>
      <w:r>
        <w:rPr/>
        <w:t>（1）应收票据分类</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478"/>
        <w:gridCol w:w="2878"/>
        <w:gridCol w:w="3000"/>
      </w:tblGrid>
      <w:tr>
        <w:trPr>
          <w:trHeight w:val="322"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4"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9,820,000.00</w:t>
            </w:r>
          </w:p>
        </w:tc>
        <w:tc>
          <w:tcPr>
            <w:tcW w:w="30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78" w:type="dxa"/>
            <w:tcBorders>
              <w:top w:val="single" w:sz="4" w:space="0" w:color="000000"/>
              <w:left w:val="single" w:sz="4" w:space="0" w:color="000000"/>
              <w:bottom w:val="single" w:sz="4" w:space="0" w:color="000000"/>
              <w:right w:val="single" w:sz="4" w:space="0" w:color="000000"/>
            </w:tcBorders>
          </w:tcPr>
          <w:p>
            <w:pPr/>
          </w:p>
        </w:tc>
        <w:tc>
          <w:tcPr>
            <w:tcW w:w="30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9,820,000.00</w:t>
            </w:r>
          </w:p>
        </w:tc>
        <w:tc>
          <w:tcPr>
            <w:tcW w:w="30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4"/>
        <w:ind w:left="673" w:right="713"/>
        <w:jc w:val="left"/>
      </w:pPr>
      <w:r>
        <w:rPr/>
        <w:t>（2）期末已背书或贴现且在资产负债表日尚未到期的应收票据</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545"/>
        <w:gridCol w:w="3118"/>
        <w:gridCol w:w="2693"/>
      </w:tblGrid>
      <w:tr>
        <w:trPr>
          <w:trHeight w:val="32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2"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8"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sz w:val="18"/>
                <w:szCs w:val="18"/>
              </w:rPr>
            </w:r>
          </w:p>
        </w:tc>
      </w:tr>
      <w:tr>
        <w:trPr>
          <w:trHeight w:val="32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11,000,000.00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1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11,000,000.00</w:t>
            </w: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4、应收账款</w:t>
      </w:r>
      <w:r>
        <w:rPr>
          <w:rFonts w:ascii="宋体" w:hAnsi="宋体" w:cs="宋体" w:eastAsia="宋体" w:hint="default"/>
          <w:sz w:val="21"/>
          <w:szCs w:val="21"/>
        </w:rPr>
      </w:r>
    </w:p>
    <w:p>
      <w:pPr>
        <w:pStyle w:val="BodyText"/>
        <w:spacing w:line="240" w:lineRule="auto" w:before="22"/>
        <w:ind w:left="673" w:right="713"/>
        <w:jc w:val="left"/>
      </w:pPr>
      <w:r>
        <w:rPr/>
        <w:t>（1）应收账款分类披露</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126"/>
        <w:gridCol w:w="1560"/>
        <w:gridCol w:w="1133"/>
        <w:gridCol w:w="1702"/>
        <w:gridCol w:w="1277"/>
        <w:gridCol w:w="1558"/>
      </w:tblGrid>
      <w:tr>
        <w:trPr>
          <w:trHeight w:val="348"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126" w:type="dxa"/>
            <w:vMerge/>
            <w:tcBorders>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0" w:hRule="exact"/>
        </w:trPr>
        <w:tc>
          <w:tcPr>
            <w:tcW w:w="212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c>
          <w:tcPr>
            <w:tcW w:w="1558" w:type="dxa"/>
            <w:vMerge/>
            <w:tcBorders>
              <w:left w:val="single" w:sz="4" w:space="0" w:color="000000"/>
              <w:bottom w:val="single" w:sz="4" w:space="0" w:color="000000"/>
              <w:right w:val="single" w:sz="4" w:space="0" w:color="000000"/>
            </w:tcBorders>
          </w:tcPr>
          <w:p>
            <w:pPr/>
          </w:p>
        </w:tc>
      </w:tr>
      <w:tr>
        <w:trPr>
          <w:trHeight w:val="47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单项金额重大并单独计提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335,203,909.64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17,359,912.38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5.18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317,843,997.26</w:t>
            </w:r>
          </w:p>
        </w:tc>
      </w:tr>
      <w:tr>
        <w:trPr>
          <w:trHeight w:val="47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按信用风险特征组合计提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坏账准备的应收款项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392,911,780.86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52.85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22,527,031.45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5.73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370,384,749.42</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30"/>
              <w:jc w:val="right"/>
              <w:rPr>
                <w:rFonts w:ascii="宋体" w:hAnsi="宋体" w:cs="宋体" w:eastAsia="宋体" w:hint="default"/>
                <w:sz w:val="18"/>
                <w:szCs w:val="18"/>
              </w:rPr>
            </w:pPr>
            <w:r>
              <w:rPr>
                <w:rFonts w:ascii="宋体" w:hAnsi="宋体" w:cs="宋体" w:eastAsia="宋体" w:hint="default"/>
                <w:sz w:val="18"/>
                <w:szCs w:val="18"/>
              </w:rPr>
              <w:t>其中：账龄组合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392,911,780.86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22,527,031.45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370,384,749.42</w:t>
            </w:r>
          </w:p>
        </w:tc>
      </w:tr>
      <w:tr>
        <w:trPr>
          <w:trHeight w:val="47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单项金额不重大但单独计</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提坏账准备的应收款项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15,327,097.70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14,096,155.63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91.97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1,230,942.07</w:t>
            </w:r>
          </w:p>
        </w:tc>
      </w:tr>
      <w:tr>
        <w:trPr>
          <w:trHeight w:val="35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76"/>
              <w:jc w:val="righ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743,442,788.20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53,983,099.46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689,459,688.75</w:t>
            </w:r>
          </w:p>
        </w:tc>
      </w:tr>
    </w:tbl>
    <w:p>
      <w:pPr>
        <w:pStyle w:val="BodyText"/>
        <w:spacing w:line="240" w:lineRule="auto" w:before="74"/>
        <w:ind w:left="673" w:right="713"/>
        <w:jc w:val="left"/>
      </w:pPr>
      <w:r>
        <w:rPr/>
        <w:t>（续）</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126"/>
        <w:gridCol w:w="1560"/>
        <w:gridCol w:w="1133"/>
        <w:gridCol w:w="1702"/>
        <w:gridCol w:w="1277"/>
        <w:gridCol w:w="1558"/>
      </w:tblGrid>
      <w:tr>
        <w:trPr>
          <w:trHeight w:val="355"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2126" w:type="dxa"/>
            <w:vMerge/>
            <w:tcBorders>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3" w:hRule="exact"/>
        </w:trPr>
        <w:tc>
          <w:tcPr>
            <w:tcW w:w="212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c>
          <w:tcPr>
            <w:tcW w:w="1558" w:type="dxa"/>
            <w:vMerge/>
            <w:tcBorders>
              <w:left w:val="single" w:sz="4" w:space="0" w:color="000000"/>
              <w:bottom w:val="single" w:sz="4" w:space="0" w:color="000000"/>
              <w:right w:val="single" w:sz="4" w:space="0" w:color="000000"/>
            </w:tcBorders>
          </w:tcPr>
          <w:p>
            <w:pPr/>
          </w:p>
        </w:tc>
      </w:tr>
      <w:tr>
        <w:trPr>
          <w:trHeight w:val="47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单项金额重大并单独计提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坏账准备的应收款项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234,851,970.72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44.52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11,969,769.08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5.10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222,882,201.64</w:t>
            </w:r>
          </w:p>
        </w:tc>
      </w:tr>
      <w:tr>
        <w:trPr>
          <w:trHeight w:val="47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按信用风险特征组合计提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278,795,212.53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52.85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14,921,608.54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263,873,603.99</w:t>
            </w:r>
          </w:p>
        </w:tc>
      </w:tr>
      <w:tr>
        <w:trPr>
          <w:trHeight w:val="33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278,795,212.53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52.85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14,921,608.54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263,873,603.99</w:t>
            </w:r>
          </w:p>
        </w:tc>
      </w:tr>
      <w:tr>
        <w:trPr>
          <w:trHeight w:val="47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单项金额不重大但单独计</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提坏账准备的应收款项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13,899,457.29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11,814,844.99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85.00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2,084,612.30</w:t>
            </w:r>
          </w:p>
        </w:tc>
      </w:tr>
    </w:tbl>
    <w:p>
      <w:pPr>
        <w:spacing w:after="0" w:line="240" w:lineRule="auto"/>
        <w:jc w:val="right"/>
        <w:rPr>
          <w:rFonts w:ascii="宋体" w:hAnsi="宋体" w:cs="宋体" w:eastAsia="宋体" w:hint="default"/>
          <w:sz w:val="18"/>
          <w:szCs w:val="18"/>
        </w:rPr>
        <w:sectPr>
          <w:pgSz w:w="11910" w:h="16840"/>
          <w:pgMar w:header="884" w:footer="1219" w:top="1140" w:bottom="1400" w:left="1220" w:right="1100"/>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126"/>
        <w:gridCol w:w="1560"/>
        <w:gridCol w:w="1133"/>
        <w:gridCol w:w="1702"/>
        <w:gridCol w:w="1277"/>
        <w:gridCol w:w="1558"/>
      </w:tblGrid>
      <w:tr>
        <w:trPr>
          <w:trHeight w:val="355"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2126" w:type="dxa"/>
            <w:vMerge/>
            <w:tcBorders>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5" w:hRule="exact"/>
        </w:trPr>
        <w:tc>
          <w:tcPr>
            <w:tcW w:w="212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c>
          <w:tcPr>
            <w:tcW w:w="1558" w:type="dxa"/>
            <w:vMerge/>
            <w:tcBorders>
              <w:left w:val="single" w:sz="4" w:space="0" w:color="000000"/>
              <w:bottom w:val="single" w:sz="4" w:space="0" w:color="000000"/>
              <w:right w:val="single" w:sz="4" w:space="0" w:color="000000"/>
            </w:tcBorders>
          </w:tcPr>
          <w:p>
            <w:pPr/>
          </w:p>
        </w:tc>
      </w:tr>
      <w:tr>
        <w:trPr>
          <w:trHeight w:val="35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6" w:right="0"/>
              <w:jc w:val="left"/>
              <w:rPr>
                <w:rFonts w:ascii="宋体" w:hAnsi="宋体" w:cs="宋体" w:eastAsia="宋体" w:hint="default"/>
                <w:sz w:val="18"/>
                <w:szCs w:val="18"/>
              </w:rPr>
            </w:pPr>
            <w:r>
              <w:rPr>
                <w:rFonts w:ascii="宋体"/>
                <w:sz w:val="18"/>
              </w:rPr>
              <w:t>527,546,640.54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9" w:right="0"/>
              <w:jc w:val="lef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6" w:right="0"/>
              <w:jc w:val="left"/>
              <w:rPr>
                <w:rFonts w:ascii="宋体" w:hAnsi="宋体" w:cs="宋体" w:eastAsia="宋体" w:hint="default"/>
                <w:sz w:val="18"/>
                <w:szCs w:val="18"/>
              </w:rPr>
            </w:pPr>
            <w:r>
              <w:rPr>
                <w:rFonts w:ascii="宋体"/>
                <w:sz w:val="18"/>
              </w:rPr>
              <w:t>38,706,222.61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7.34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4" w:right="0"/>
              <w:jc w:val="left"/>
              <w:rPr>
                <w:rFonts w:ascii="宋体" w:hAnsi="宋体" w:cs="宋体" w:eastAsia="宋体" w:hint="default"/>
                <w:sz w:val="18"/>
                <w:szCs w:val="18"/>
              </w:rPr>
            </w:pPr>
            <w:r>
              <w:rPr>
                <w:rFonts w:ascii="宋体"/>
                <w:sz w:val="18"/>
              </w:rPr>
              <w:t>488,840,417.93</w:t>
            </w:r>
          </w:p>
        </w:tc>
      </w:tr>
    </w:tbl>
    <w:p>
      <w:pPr>
        <w:spacing w:line="240" w:lineRule="auto" w:before="5"/>
        <w:rPr>
          <w:rFonts w:ascii="宋体" w:hAnsi="宋体" w:cs="宋体" w:eastAsia="宋体" w:hint="default"/>
          <w:sz w:val="15"/>
          <w:szCs w:val="15"/>
        </w:rPr>
      </w:pPr>
    </w:p>
    <w:p>
      <w:pPr>
        <w:pStyle w:val="BodyText"/>
        <w:spacing w:line="240" w:lineRule="auto" w:before="36"/>
        <w:ind w:left="673" w:right="713"/>
        <w:jc w:val="left"/>
      </w:pPr>
      <w:r>
        <w:rPr/>
        <w:t>①期末单项金额重大并单项计提坏账准备的应收账款</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76"/>
        <w:gridCol w:w="1560"/>
        <w:gridCol w:w="1418"/>
        <w:gridCol w:w="991"/>
        <w:gridCol w:w="2410"/>
      </w:tblGrid>
      <w:tr>
        <w:trPr>
          <w:trHeight w:val="350"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t>（按单位）</w:t>
            </w:r>
          </w:p>
        </w:tc>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97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67,917,738.71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3,640,333.03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48"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49,759,776.81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2,627,384.11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中移铁通有限公司广东分公司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40,032,232.91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2,001,611.65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38,492,087.60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2,057,229.31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中国移动通信集团福建有限公司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26,485,725.48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1,325,258.27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6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中国联合网络通信有限公司广东省分</w:t>
            </w:r>
            <w:r>
              <w:rPr>
                <w:rFonts w:ascii="宋体" w:hAnsi="宋体" w:cs="宋体" w:eastAsia="宋体" w:hint="default"/>
                <w:sz w:val="18"/>
                <w:szCs w:val="18"/>
              </w:rPr>
              <w:t>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24,924,651.75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1,276,063.06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22,861,510.36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1,195,523.64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中交第四航务工程局有限公司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22,760,553.70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1,138,027.69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北京时空立方数字科技有限公司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22,718,256.61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1,135,912.83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48"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19,251,375.71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962,568.79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335,203,909.64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17,359,912.38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26"/>
        <w:ind w:left="673" w:right="713"/>
        <w:jc w:val="left"/>
      </w:pPr>
      <w:r>
        <w:rPr/>
        <w:t>②组合中，按账龄分析法计提坏账准备的应收账款</w:t>
      </w:r>
    </w:p>
    <w:p>
      <w:pPr>
        <w:spacing w:line="240" w:lineRule="auto" w:before="9"/>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18"/>
        <w:gridCol w:w="2174"/>
        <w:gridCol w:w="2174"/>
        <w:gridCol w:w="1889"/>
      </w:tblGrid>
      <w:tr>
        <w:trPr>
          <w:trHeight w:val="350"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8" w:hRule="exact"/>
        </w:trPr>
        <w:tc>
          <w:tcPr>
            <w:tcW w:w="3118" w:type="dxa"/>
            <w:vMerge/>
            <w:tcBorders>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375,231,465.43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18,761,650.01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5.00</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12,576,292.39</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1,257,629.24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10.00</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3,938,665.57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1,575,466.22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40.00</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898,379.29</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718,703.43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52,472.96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41,978.37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4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214,505.22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171,604.18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392,911,780.86</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22,527,031.45</w:t>
            </w:r>
          </w:p>
        </w:tc>
        <w:tc>
          <w:tcPr>
            <w:tcW w:w="18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779" w:right="713"/>
        <w:jc w:val="left"/>
      </w:pPr>
      <w:r>
        <w:rPr/>
        <w:t>(续)</w:t>
      </w:r>
    </w:p>
    <w:p>
      <w:pPr>
        <w:spacing w:line="240" w:lineRule="auto" w:before="9"/>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18"/>
        <w:gridCol w:w="2268"/>
        <w:gridCol w:w="2126"/>
        <w:gridCol w:w="1843"/>
      </w:tblGrid>
      <w:tr>
        <w:trPr>
          <w:trHeight w:val="355" w:hRule="exact"/>
        </w:trPr>
        <w:tc>
          <w:tcPr>
            <w:tcW w:w="3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3118"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2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r>
      <w:tr>
        <w:trPr>
          <w:trHeight w:val="33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270,532,520.57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13,526,626.03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宋体" w:hAnsi="宋体" w:cs="宋体" w:eastAsia="宋体" w:hint="default"/>
                <w:sz w:val="18"/>
                <w:szCs w:val="18"/>
              </w:rPr>
            </w:pPr>
            <w:r>
              <w:rPr>
                <w:rFonts w:ascii="宋体"/>
                <w:sz w:val="18"/>
              </w:rPr>
              <w:t>5.00</w:t>
            </w:r>
          </w:p>
        </w:tc>
      </w:tr>
      <w:tr>
        <w:trPr>
          <w:trHeight w:val="35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6,722,951.84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672,295.18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10.00</w:t>
            </w:r>
          </w:p>
        </w:tc>
      </w:tr>
      <w:tr>
        <w:trPr>
          <w:trHeight w:val="35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1,272,761.94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509,104.78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40.00</w:t>
            </w:r>
          </w:p>
        </w:tc>
      </w:tr>
      <w:tr>
        <w:trPr>
          <w:trHeight w:val="35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52,472.96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41,978.37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80.00</w:t>
            </w:r>
          </w:p>
        </w:tc>
      </w:tr>
      <w:tr>
        <w:trPr>
          <w:trHeight w:val="35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214,505.22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171,604.18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80.00</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80.00</w:t>
            </w:r>
          </w:p>
        </w:tc>
      </w:tr>
      <w:tr>
        <w:trPr>
          <w:trHeight w:val="35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278,795,212.53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14,921,608.54</w:t>
            </w: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219" w:top="1140" w:bottom="1400" w:left="1220" w:right="1100"/>
        </w:sectPr>
      </w:pPr>
    </w:p>
    <w:p>
      <w:pPr>
        <w:pStyle w:val="BodyText"/>
        <w:spacing w:line="240" w:lineRule="auto" w:before="107"/>
        <w:ind w:left="673" w:right="713"/>
        <w:jc w:val="left"/>
      </w:pPr>
      <w:r>
        <w:rPr/>
        <w:t>③单项金额不重大但单独计提坏账准备的应收款项</w:t>
      </w:r>
    </w:p>
    <w:p>
      <w:pPr>
        <w:spacing w:line="240" w:lineRule="auto" w:before="9"/>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68"/>
        <w:gridCol w:w="1418"/>
        <w:gridCol w:w="1418"/>
        <w:gridCol w:w="1274"/>
        <w:gridCol w:w="2976"/>
      </w:tblGrid>
      <w:tr>
        <w:trPr>
          <w:trHeight w:val="32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t>（按单位）</w:t>
            </w:r>
          </w:p>
        </w:tc>
        <w:tc>
          <w:tcPr>
            <w:tcW w:w="70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226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81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24" w:right="19"/>
              <w:jc w:val="left"/>
              <w:rPr>
                <w:rFonts w:ascii="宋体" w:hAnsi="宋体" w:cs="宋体" w:eastAsia="宋体" w:hint="default"/>
                <w:sz w:val="18"/>
                <w:szCs w:val="18"/>
              </w:rPr>
            </w:pPr>
            <w:r>
              <w:rPr>
                <w:rFonts w:ascii="宋体" w:hAnsi="宋体" w:cs="宋体" w:eastAsia="宋体" w:hint="default"/>
                <w:spacing w:val="3"/>
                <w:sz w:val="18"/>
                <w:szCs w:val="18"/>
              </w:rPr>
              <w:t>吉林省昊展商务信息技术有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z w:val="18"/>
              </w:rPr>
              <w:t>1,606,797.43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z w:val="18"/>
              </w:rPr>
              <w:t>1,606,797.43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独立董事依据</w:t>
            </w:r>
            <w:r>
              <w:rPr>
                <w:rFonts w:ascii="宋体" w:hAnsi="宋体" w:cs="宋体" w:eastAsia="宋体" w:hint="default"/>
                <w:spacing w:val="-48"/>
                <w:sz w:val="18"/>
                <w:szCs w:val="18"/>
              </w:rPr>
              <w:t> </w:t>
            </w: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年双方签订的和</w:t>
            </w:r>
          </w:p>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解协议书确定欠款已无法收回</w:t>
            </w:r>
          </w:p>
        </w:tc>
      </w:tr>
      <w:tr>
        <w:trPr>
          <w:trHeight w:val="328"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独立董事依据媒体曝光乐视网拖欠供</w:t>
            </w:r>
          </w:p>
        </w:tc>
      </w:tr>
      <w:tr>
        <w:trPr>
          <w:trHeight w:val="476"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乐视网信息技术（北京）股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9"/>
              <w:jc w:val="right"/>
              <w:rPr>
                <w:rFonts w:ascii="宋体" w:hAnsi="宋体" w:cs="宋体" w:eastAsia="宋体" w:hint="default"/>
                <w:sz w:val="18"/>
                <w:szCs w:val="18"/>
              </w:rPr>
            </w:pPr>
            <w:r>
              <w:rPr>
                <w:rFonts w:ascii="宋体"/>
                <w:sz w:val="18"/>
              </w:rPr>
              <w:t>1,410,879.60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9"/>
              <w:jc w:val="right"/>
              <w:rPr>
                <w:rFonts w:ascii="宋体" w:hAnsi="宋体" w:cs="宋体" w:eastAsia="宋体" w:hint="default"/>
                <w:sz w:val="18"/>
                <w:szCs w:val="18"/>
              </w:rPr>
            </w:pPr>
            <w:r>
              <w:rPr>
                <w:rFonts w:ascii="宋体"/>
                <w:sz w:val="18"/>
              </w:rPr>
              <w:t>1,410,879.60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100.00%</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应商款项、资金链断裂按</w:t>
            </w:r>
            <w:r>
              <w:rPr>
                <w:rFonts w:ascii="宋体" w:hAnsi="宋体" w:cs="宋体" w:eastAsia="宋体" w:hint="default"/>
                <w:spacing w:val="-47"/>
                <w:sz w:val="18"/>
                <w:szCs w:val="18"/>
              </w:rPr>
              <w:t> </w:t>
            </w:r>
            <w:r>
              <w:rPr>
                <w:rFonts w:ascii="Arial" w:hAnsi="Arial" w:cs="Arial" w:eastAsia="Arial" w:hint="default"/>
                <w:sz w:val="18"/>
                <w:szCs w:val="18"/>
              </w:rPr>
              <w:t>100%</w:t>
            </w:r>
            <w:r>
              <w:rPr>
                <w:rFonts w:ascii="宋体" w:hAnsi="宋体" w:cs="宋体" w:eastAsia="宋体" w:hint="default"/>
                <w:sz w:val="18"/>
                <w:szCs w:val="18"/>
              </w:rPr>
              <w:t>计提</w:t>
            </w:r>
          </w:p>
        </w:tc>
      </w:tr>
      <w:tr>
        <w:trPr>
          <w:trHeight w:val="285"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坏账</w:t>
            </w:r>
          </w:p>
        </w:tc>
      </w:tr>
      <w:tr>
        <w:trPr>
          <w:trHeight w:val="373"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独立董事依据回款额低于应收账款的</w:t>
            </w:r>
          </w:p>
        </w:tc>
      </w:tr>
      <w:tr>
        <w:trPr>
          <w:trHeight w:val="516"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智行唯道（北京）信息技术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0"/>
              <w:jc w:val="right"/>
              <w:rPr>
                <w:rFonts w:ascii="宋体" w:hAnsi="宋体" w:cs="宋体" w:eastAsia="宋体" w:hint="default"/>
                <w:sz w:val="18"/>
                <w:szCs w:val="18"/>
              </w:rPr>
            </w:pPr>
            <w:r>
              <w:rPr>
                <w:rFonts w:ascii="宋体"/>
                <w:sz w:val="18"/>
              </w:rPr>
              <w:t>12,309,420.67</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0"/>
              <w:jc w:val="right"/>
              <w:rPr>
                <w:rFonts w:ascii="宋体" w:hAnsi="宋体" w:cs="宋体" w:eastAsia="宋体" w:hint="default"/>
                <w:sz w:val="18"/>
                <w:szCs w:val="18"/>
              </w:rPr>
            </w:pPr>
            <w:r>
              <w:rPr>
                <w:rFonts w:ascii="宋体"/>
                <w:sz w:val="18"/>
              </w:rPr>
              <w:t>11,078,478.60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9"/>
              <w:jc w:val="right"/>
              <w:rPr>
                <w:rFonts w:ascii="宋体" w:hAnsi="宋体" w:cs="宋体" w:eastAsia="宋体" w:hint="default"/>
                <w:sz w:val="18"/>
                <w:szCs w:val="18"/>
              </w:rPr>
            </w:pPr>
            <w:r>
              <w:rPr>
                <w:rFonts w:ascii="宋体"/>
                <w:sz w:val="18"/>
              </w:rPr>
              <w:t>90.00%</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增加额，根据判定的可收回金额，同</w:t>
            </w:r>
          </w:p>
        </w:tc>
      </w:tr>
      <w:tr>
        <w:trPr>
          <w:trHeight w:val="320"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意按</w:t>
            </w:r>
            <w:r>
              <w:rPr>
                <w:rFonts w:ascii="宋体" w:hAnsi="宋体" w:cs="宋体" w:eastAsia="宋体" w:hint="default"/>
                <w:spacing w:val="-45"/>
                <w:sz w:val="18"/>
                <w:szCs w:val="18"/>
              </w:rPr>
              <w:t> </w:t>
            </w:r>
            <w:r>
              <w:rPr>
                <w:rFonts w:ascii="Arial" w:hAnsi="Arial" w:cs="Arial" w:eastAsia="Arial" w:hint="default"/>
                <w:sz w:val="18"/>
                <w:szCs w:val="18"/>
              </w:rPr>
              <w:t>90%</w:t>
            </w:r>
            <w:r>
              <w:rPr>
                <w:rFonts w:ascii="宋体" w:hAnsi="宋体" w:cs="宋体" w:eastAsia="宋体" w:hint="default"/>
                <w:sz w:val="18"/>
                <w:szCs w:val="18"/>
              </w:rPr>
              <w:t>计提坏账</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15,327,097.70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14,096,155.63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left="673" w:right="713"/>
        <w:jc w:val="left"/>
      </w:pPr>
      <w:r>
        <w:rPr/>
        <w:t>（2）本期计提、收回或转回的坏账准备情况</w:t>
      </w:r>
    </w:p>
    <w:p>
      <w:pPr>
        <w:pStyle w:val="BodyText"/>
        <w:spacing w:line="240" w:lineRule="auto" w:before="37"/>
        <w:ind w:left="673" w:right="713"/>
        <w:jc w:val="left"/>
      </w:pPr>
      <w:r>
        <w:rPr/>
        <w:t>本期计提坏账准备金额</w:t>
      </w:r>
      <w:r>
        <w:rPr>
          <w:spacing w:val="-56"/>
        </w:rPr>
        <w:t> </w:t>
      </w:r>
      <w:r>
        <w:rPr/>
        <w:t>15,271,070.53</w:t>
      </w:r>
      <w:r>
        <w:rPr>
          <w:spacing w:val="-56"/>
        </w:rPr>
        <w:t> </w:t>
      </w:r>
      <w:r>
        <w:rPr/>
        <w:t>元；本期收回或转回坏账准备金额</w:t>
      </w:r>
      <w:r>
        <w:rPr>
          <w:spacing w:val="-56"/>
        </w:rPr>
        <w:t> </w:t>
      </w:r>
      <w:r>
        <w:rPr/>
        <w:t>5,806.32</w:t>
      </w:r>
      <w:r>
        <w:rPr>
          <w:spacing w:val="-56"/>
        </w:rPr>
        <w:t> </w:t>
      </w:r>
      <w:r>
        <w:rPr/>
        <w:t>元。</w:t>
      </w:r>
    </w:p>
    <w:p>
      <w:pPr>
        <w:pStyle w:val="BodyText"/>
        <w:spacing w:line="240" w:lineRule="auto" w:before="37"/>
        <w:ind w:left="673" w:right="713"/>
        <w:jc w:val="left"/>
      </w:pPr>
      <w:r>
        <w:rPr/>
        <w:t>（3）按欠款方归集的期末余额前五名的应收账款情况</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837"/>
        <w:gridCol w:w="2268"/>
        <w:gridCol w:w="1982"/>
        <w:gridCol w:w="2268"/>
      </w:tblGrid>
      <w:tr>
        <w:trPr>
          <w:trHeight w:val="47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债务人名称</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b/>
                <w:bCs/>
                <w:sz w:val="18"/>
                <w:szCs w:val="18"/>
              </w:rPr>
              <w:t>应收账款期末余额</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16"/>
                <w:sz w:val="18"/>
                <w:szCs w:val="18"/>
              </w:rPr>
              <w:t>占应收账款期末余额</w:t>
            </w:r>
            <w:r>
              <w:rPr>
                <w:rFonts w:ascii="宋体" w:hAnsi="宋体" w:cs="宋体" w:eastAsia="宋体" w:hint="default"/>
                <w:spacing w:val="16"/>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合计数的比例</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5"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5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z w:val="18"/>
              </w:rPr>
              <w:t>67,917,738.71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9.14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3,640,333.04</w:t>
            </w:r>
          </w:p>
        </w:tc>
      </w:tr>
      <w:tr>
        <w:trPr>
          <w:trHeight w:val="35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z w:val="18"/>
              </w:rPr>
              <w:t>49,759,776.81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6.69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2,627,384.11</w:t>
            </w:r>
          </w:p>
        </w:tc>
      </w:tr>
      <w:tr>
        <w:trPr>
          <w:trHeight w:val="35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中移铁通有限公司广东分公司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z w:val="18"/>
              </w:rPr>
              <w:t>40,032,232.91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5.38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宋体" w:hAnsi="宋体" w:cs="宋体" w:eastAsia="宋体" w:hint="default"/>
                <w:sz w:val="18"/>
                <w:szCs w:val="18"/>
              </w:rPr>
            </w:pPr>
            <w:r>
              <w:rPr>
                <w:rFonts w:ascii="宋体"/>
                <w:sz w:val="18"/>
              </w:rPr>
              <w:t>2,001,611.65</w:t>
            </w:r>
          </w:p>
        </w:tc>
      </w:tr>
      <w:tr>
        <w:trPr>
          <w:trHeight w:val="35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z w:val="18"/>
              </w:rPr>
              <w:t>38,492,087.60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5.18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2,057,229.31</w:t>
            </w:r>
          </w:p>
        </w:tc>
      </w:tr>
      <w:tr>
        <w:trPr>
          <w:trHeight w:val="35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中国移动通信集团福建有限公司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z w:val="18"/>
              </w:rPr>
              <w:t>26,485,725.48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3.56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1,325,258.27</w:t>
            </w:r>
          </w:p>
        </w:tc>
      </w:tr>
      <w:tr>
        <w:trPr>
          <w:trHeight w:val="35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宋体" w:hAnsi="宋体" w:cs="宋体" w:eastAsia="宋体" w:hint="default"/>
                <w:sz w:val="18"/>
                <w:szCs w:val="18"/>
              </w:rPr>
            </w:pPr>
            <w:r>
              <w:rPr>
                <w:rFonts w:ascii="宋体"/>
                <w:sz w:val="18"/>
              </w:rPr>
              <w:t>222,687,561.51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29.95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sz w:val="18"/>
              </w:rPr>
              <w:t>11,651,816.38</w:t>
            </w:r>
          </w:p>
        </w:tc>
      </w:tr>
    </w:tbl>
    <w:p>
      <w:pPr>
        <w:spacing w:before="57"/>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5、预付款项</w:t>
      </w:r>
      <w:r>
        <w:rPr>
          <w:rFonts w:ascii="宋体" w:hAnsi="宋体" w:cs="宋体" w:eastAsia="宋体" w:hint="default"/>
          <w:sz w:val="21"/>
          <w:szCs w:val="21"/>
        </w:rPr>
      </w:r>
    </w:p>
    <w:p>
      <w:pPr>
        <w:pStyle w:val="BodyText"/>
        <w:spacing w:line="240" w:lineRule="auto" w:before="20"/>
        <w:ind w:left="673" w:right="713"/>
        <w:jc w:val="left"/>
      </w:pPr>
      <w:r>
        <w:rPr/>
        <w:t>（1）预付款项按账龄列示</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76"/>
        <w:gridCol w:w="2210"/>
        <w:gridCol w:w="1874"/>
        <w:gridCol w:w="1812"/>
        <w:gridCol w:w="1982"/>
      </w:tblGrid>
      <w:tr>
        <w:trPr>
          <w:trHeight w:val="322"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4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2" w:hRule="exact"/>
        </w:trPr>
        <w:tc>
          <w:tcPr>
            <w:tcW w:w="1476" w:type="dxa"/>
            <w:vMerge/>
            <w:tcBorders>
              <w:left w:val="single" w:sz="4" w:space="0" w:color="000000"/>
              <w:bottom w:val="single" w:sz="4" w:space="0" w:color="000000"/>
              <w:right w:val="single" w:sz="4" w:space="0" w:color="000000"/>
            </w:tcBorders>
          </w:tcPr>
          <w:p>
            <w:pP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r>
      <w:tr>
        <w:trPr>
          <w:trHeight w:val="3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53,513,829.03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99.57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28,974,562.18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99.91</w:t>
            </w:r>
          </w:p>
        </w:tc>
      </w:tr>
      <w:tr>
        <w:trPr>
          <w:trHeight w:val="3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233,705.29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0.43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27,170.27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0.09</w:t>
            </w: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1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1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53,747,534.32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29,001,732.45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left="673" w:right="713"/>
        <w:jc w:val="left"/>
      </w:pPr>
      <w:r>
        <w:rPr/>
        <w:t>（2）按预付对象归集的期末余额前五名的预付款情况</w:t>
      </w:r>
    </w:p>
    <w:p>
      <w:pPr>
        <w:spacing w:line="240" w:lineRule="auto" w:before="11"/>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033"/>
        <w:gridCol w:w="2340"/>
        <w:gridCol w:w="1982"/>
      </w:tblGrid>
      <w:tr>
        <w:trPr>
          <w:trHeight w:val="478"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占预付账款期末余额合</w:t>
            </w:r>
            <w:r>
              <w:rPr>
                <w:rFonts w:ascii="宋体" w:hAnsi="宋体" w:cs="宋体" w:eastAsia="宋体" w:hint="default"/>
                <w:sz w:val="18"/>
                <w:szCs w:val="18"/>
              </w:rPr>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b/>
                <w:bCs/>
                <w:sz w:val="18"/>
                <w:szCs w:val="18"/>
              </w:rPr>
              <w:t>计数的比例</w:t>
            </w:r>
            <w:r>
              <w:rPr>
                <w:rFonts w:ascii="宋体" w:hAnsi="宋体" w:cs="宋体" w:eastAsia="宋体" w:hint="default"/>
                <w:sz w:val="18"/>
                <w:szCs w:val="18"/>
              </w:rPr>
              <w:t>（%）</w:t>
            </w:r>
          </w:p>
        </w:tc>
      </w:tr>
      <w:tr>
        <w:trPr>
          <w:trHeight w:val="350"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中国移动通信集团广东有限公司珠海分公司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11,822,594.10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22.00</w:t>
            </w:r>
          </w:p>
        </w:tc>
      </w:tr>
      <w:tr>
        <w:trPr>
          <w:trHeight w:val="350"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中国移动通信集团河北有限公司唐山分公司市区营销中心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6,075,333.84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11.30</w:t>
            </w:r>
          </w:p>
        </w:tc>
      </w:tr>
      <w:tr>
        <w:trPr>
          <w:trHeight w:val="348"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央广视讯传媒股份有限公司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4,453,423.45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8.29</w:t>
            </w:r>
          </w:p>
        </w:tc>
      </w:tr>
      <w:tr>
        <w:trPr>
          <w:trHeight w:val="350"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中国移动通信集团四川有限公司自贡分公司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3,675,545.28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6.84</w:t>
            </w:r>
          </w:p>
        </w:tc>
      </w:tr>
      <w:tr>
        <w:trPr>
          <w:trHeight w:val="350"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中国移动通信集团湖北有限公司随州分公司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3,000,000.00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5.58</w:t>
            </w:r>
          </w:p>
        </w:tc>
      </w:tr>
      <w:tr>
        <w:trPr>
          <w:trHeight w:val="350" w:hRule="exact"/>
        </w:trPr>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29,026,896.67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宋体" w:hAnsi="宋体" w:cs="宋体" w:eastAsia="宋体" w:hint="default"/>
                <w:sz w:val="18"/>
                <w:szCs w:val="18"/>
              </w:rPr>
            </w:pPr>
            <w:r>
              <w:rPr>
                <w:rFonts w:ascii="宋体"/>
                <w:sz w:val="18"/>
              </w:rPr>
              <w:t>54.01</w:t>
            </w:r>
          </w:p>
        </w:tc>
      </w:tr>
    </w:tbl>
    <w:p>
      <w:pPr>
        <w:spacing w:after="0" w:line="240" w:lineRule="auto"/>
        <w:jc w:val="right"/>
        <w:rPr>
          <w:rFonts w:ascii="宋体" w:hAnsi="宋体" w:cs="宋体" w:eastAsia="宋体" w:hint="default"/>
          <w:sz w:val="18"/>
          <w:szCs w:val="18"/>
        </w:rPr>
        <w:sectPr>
          <w:footerReference w:type="default" r:id="rId64"/>
          <w:pgSz w:w="11910" w:h="16840"/>
          <w:pgMar w:footer="1219" w:header="884" w:top="1140" w:bottom="1400" w:left="1220" w:right="1100"/>
        </w:sectPr>
      </w:pPr>
    </w:p>
    <w:p>
      <w:pPr>
        <w:spacing w:line="240" w:lineRule="auto" w:before="5"/>
        <w:rPr>
          <w:rFonts w:ascii="宋体" w:hAnsi="宋体" w:cs="宋体" w:eastAsia="宋体" w:hint="default"/>
          <w:sz w:val="26"/>
          <w:szCs w:val="26"/>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6、应收利息</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175"/>
        <w:gridCol w:w="3144"/>
        <w:gridCol w:w="3036"/>
      </w:tblGrid>
      <w:tr>
        <w:trPr>
          <w:trHeight w:val="350"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5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理财存款利息</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937,078.84</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810,997.26</w:t>
            </w:r>
          </w:p>
        </w:tc>
      </w:tr>
      <w:tr>
        <w:trPr>
          <w:trHeight w:val="350"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937,078.84</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810,997.26</w:t>
            </w:r>
          </w:p>
        </w:tc>
      </w:tr>
    </w:tbl>
    <w:p>
      <w:pPr>
        <w:spacing w:line="240" w:lineRule="auto" w:before="2"/>
        <w:rPr>
          <w:rFonts w:ascii="宋体" w:hAnsi="宋体" w:cs="宋体" w:eastAsia="宋体" w:hint="default"/>
          <w:b/>
          <w:bCs/>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7、其他应收款</w:t>
      </w:r>
      <w:r>
        <w:rPr>
          <w:rFonts w:ascii="宋体" w:hAnsi="宋体" w:cs="宋体" w:eastAsia="宋体" w:hint="default"/>
          <w:sz w:val="21"/>
          <w:szCs w:val="21"/>
        </w:rPr>
      </w:r>
    </w:p>
    <w:p>
      <w:pPr>
        <w:pStyle w:val="BodyText"/>
        <w:spacing w:line="240" w:lineRule="auto" w:before="22"/>
        <w:ind w:left="673" w:right="713"/>
        <w:jc w:val="left"/>
      </w:pPr>
      <w:r>
        <w:rPr/>
        <w:t>（1）其他应收款分类披露</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0"/>
        <w:gridCol w:w="1560"/>
        <w:gridCol w:w="1135"/>
        <w:gridCol w:w="1416"/>
        <w:gridCol w:w="1277"/>
        <w:gridCol w:w="1558"/>
      </w:tblGrid>
      <w:tr>
        <w:trPr>
          <w:trHeight w:val="355"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69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5" w:hRule="exact"/>
        </w:trPr>
        <w:tc>
          <w:tcPr>
            <w:tcW w:w="2410" w:type="dxa"/>
            <w:vMerge/>
            <w:tcBorders>
              <w:left w:val="single" w:sz="4" w:space="0" w:color="000000"/>
              <w:right w:val="single" w:sz="4" w:space="0" w:color="000000"/>
            </w:tcBorders>
          </w:tcPr>
          <w:p>
            <w:pP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5" w:hRule="exact"/>
        </w:trPr>
        <w:tc>
          <w:tcPr>
            <w:tcW w:w="241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c>
          <w:tcPr>
            <w:tcW w:w="1558" w:type="dxa"/>
            <w:vMerge/>
            <w:tcBorders>
              <w:left w:val="single" w:sz="4" w:space="0" w:color="000000"/>
              <w:bottom w:val="single" w:sz="4" w:space="0" w:color="000000"/>
              <w:right w:val="single" w:sz="4" w:space="0" w:color="000000"/>
            </w:tcBorders>
          </w:tcPr>
          <w:p>
            <w:pPr/>
          </w:p>
        </w:tc>
      </w:tr>
      <w:tr>
        <w:trPr>
          <w:trHeight w:val="47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12,552,376.72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34.67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2,660,167.24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21.19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9,892,209.48</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23,654,488.34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65.33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3,045,894.95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12.88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20,608,593.39</w:t>
            </w:r>
          </w:p>
        </w:tc>
      </w:tr>
      <w:tr>
        <w:trPr>
          <w:trHeight w:val="38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
              <w:jc w:val="right"/>
              <w:rPr>
                <w:rFonts w:ascii="宋体" w:hAnsi="宋体" w:cs="宋体" w:eastAsia="宋体" w:hint="default"/>
                <w:sz w:val="18"/>
                <w:szCs w:val="18"/>
              </w:rPr>
            </w:pPr>
            <w:r>
              <w:rPr>
                <w:rFonts w:ascii="宋体"/>
                <w:sz w:val="18"/>
              </w:rPr>
              <w:t>23,654,488.34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65.33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sz w:val="18"/>
              </w:rPr>
              <w:t>3,045,894.95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12.88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20,608,593.39</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36,206,865.06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5,706,062.19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15.76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30,500,802.87</w:t>
            </w:r>
          </w:p>
        </w:tc>
      </w:tr>
    </w:tbl>
    <w:p>
      <w:pPr>
        <w:pStyle w:val="BodyText"/>
        <w:spacing w:line="240" w:lineRule="auto" w:before="74"/>
        <w:ind w:left="673" w:right="713"/>
        <w:jc w:val="left"/>
      </w:pPr>
      <w:r>
        <w:rPr/>
        <w:t>（续）</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0"/>
        <w:gridCol w:w="1560"/>
        <w:gridCol w:w="1135"/>
        <w:gridCol w:w="1416"/>
        <w:gridCol w:w="1277"/>
        <w:gridCol w:w="1558"/>
      </w:tblGrid>
      <w:tr>
        <w:trPr>
          <w:trHeight w:val="350"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9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2410" w:type="dxa"/>
            <w:vMerge/>
            <w:tcBorders>
              <w:left w:val="single" w:sz="4" w:space="0" w:color="000000"/>
              <w:right w:val="single" w:sz="4" w:space="0" w:color="000000"/>
            </w:tcBorders>
          </w:tcPr>
          <w:p>
            <w:pP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0" w:hRule="exact"/>
        </w:trPr>
        <w:tc>
          <w:tcPr>
            <w:tcW w:w="241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c>
          <w:tcPr>
            <w:tcW w:w="1558" w:type="dxa"/>
            <w:vMerge/>
            <w:tcBorders>
              <w:left w:val="single" w:sz="4" w:space="0" w:color="000000"/>
              <w:bottom w:val="single" w:sz="4" w:space="0" w:color="000000"/>
              <w:right w:val="single" w:sz="4" w:space="0" w:color="000000"/>
            </w:tcBorders>
          </w:tcPr>
          <w:p>
            <w:pP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13,869,230.85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35.53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2,210,474.89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15.94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11,658,755.96</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25,165,988.41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64.47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2,491,674.35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9.90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22,674,314.06</w:t>
            </w:r>
          </w:p>
        </w:tc>
      </w:tr>
      <w:tr>
        <w:trPr>
          <w:trHeight w:val="34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25,165,988.41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64.47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2,491,674.35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22,674,314.06</w:t>
            </w:r>
          </w:p>
        </w:tc>
      </w:tr>
      <w:tr>
        <w:trPr>
          <w:trHeight w:val="47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39,035,219.26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4,702,149.24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34,333,070.02</w:t>
            </w:r>
          </w:p>
        </w:tc>
      </w:tr>
    </w:tbl>
    <w:p>
      <w:pPr>
        <w:spacing w:line="240" w:lineRule="auto" w:before="5"/>
        <w:rPr>
          <w:rFonts w:ascii="宋体" w:hAnsi="宋体" w:cs="宋体" w:eastAsia="宋体" w:hint="default"/>
          <w:sz w:val="15"/>
          <w:szCs w:val="15"/>
        </w:rPr>
      </w:pPr>
    </w:p>
    <w:p>
      <w:pPr>
        <w:pStyle w:val="BodyText"/>
        <w:spacing w:line="240" w:lineRule="auto" w:before="36"/>
        <w:ind w:left="673" w:right="713"/>
        <w:jc w:val="left"/>
      </w:pPr>
      <w:r>
        <w:rPr/>
        <w:t>①期末单项金额重大并单独计提坏账准备的其他应收款</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41"/>
        <w:gridCol w:w="1428"/>
        <w:gridCol w:w="1344"/>
        <w:gridCol w:w="1061"/>
        <w:gridCol w:w="2482"/>
      </w:tblGrid>
      <w:tr>
        <w:trPr>
          <w:trHeight w:val="350" w:hRule="exact"/>
        </w:trPr>
        <w:tc>
          <w:tcPr>
            <w:tcW w:w="30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t>（按单位）</w:t>
            </w:r>
          </w:p>
        </w:tc>
        <w:tc>
          <w:tcPr>
            <w:tcW w:w="63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3041"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中国移动通信集团云南有限公司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中国移动通信集团贵州有限公司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1,936,016.87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774,406.75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中国铁塔股份有限公司广东省分公司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1,600,000.00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北京泰禾信康科技孵化器有限公司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1,281,550.00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749,020.00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58.45%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中国铁塔股份有限公司河南省分公司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12.50%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中国移动通信集团天津有限公司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47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天津市施工队伍管理</w:t>
            </w:r>
            <w:r>
              <w:rPr>
                <w:rFonts w:ascii="宋体" w:hAnsi="宋体" w:cs="宋体" w:eastAsia="宋体" w:hint="default"/>
                <w:spacing w:val="-77"/>
                <w:sz w:val="18"/>
                <w:szCs w:val="18"/>
              </w:rPr>
              <w:t>站</w:t>
            </w:r>
            <w:r>
              <w:rPr>
                <w:rFonts w:ascii="宋体" w:hAnsi="宋体" w:cs="宋体" w:eastAsia="宋体" w:hint="default"/>
                <w:sz w:val="18"/>
                <w:szCs w:val="18"/>
              </w:rPr>
              <w:t>（天津市施工队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伍交流服务中心）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1,000,000.00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10.00%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中国铁塔股份有限公司广州市分公司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934,809.85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46,740.49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中国移动通信集团山东有限公司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bl>
    <w:p>
      <w:pPr>
        <w:spacing w:after="0" w:line="240" w:lineRule="auto"/>
        <w:jc w:val="center"/>
        <w:rPr>
          <w:rFonts w:ascii="宋体" w:hAnsi="宋体" w:cs="宋体" w:eastAsia="宋体" w:hint="default"/>
          <w:sz w:val="18"/>
          <w:szCs w:val="18"/>
        </w:rPr>
        <w:sectPr>
          <w:footerReference w:type="default" r:id="rId65"/>
          <w:pgSz w:w="11910" w:h="16840"/>
          <w:pgMar w:footer="1219" w:header="884" w:top="1140" w:bottom="1400" w:left="1220" w:right="1100"/>
          <w:pgNumType w:start="101"/>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41"/>
        <w:gridCol w:w="1428"/>
        <w:gridCol w:w="1344"/>
        <w:gridCol w:w="1061"/>
        <w:gridCol w:w="2482"/>
      </w:tblGrid>
      <w:tr>
        <w:trPr>
          <w:trHeight w:val="350" w:hRule="exact"/>
        </w:trPr>
        <w:tc>
          <w:tcPr>
            <w:tcW w:w="30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t>（按单位）</w:t>
            </w:r>
          </w:p>
        </w:tc>
        <w:tc>
          <w:tcPr>
            <w:tcW w:w="63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3041"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中国移动通信集团宁夏有限公司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9" w:right="0"/>
              <w:jc w:val="left"/>
              <w:rPr>
                <w:rFonts w:ascii="宋体" w:hAnsi="宋体" w:cs="宋体" w:eastAsia="宋体" w:hint="default"/>
                <w:sz w:val="18"/>
                <w:szCs w:val="18"/>
              </w:rPr>
            </w:pPr>
            <w:r>
              <w:rPr>
                <w:rFonts w:ascii="宋体"/>
                <w:sz w:val="18"/>
              </w:rPr>
              <w:t>10.00%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0"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12,552,376.72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2,660,167.24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5"/>
          <w:szCs w:val="15"/>
        </w:rPr>
      </w:pPr>
    </w:p>
    <w:p>
      <w:pPr>
        <w:pStyle w:val="BodyText"/>
        <w:spacing w:line="240" w:lineRule="auto" w:before="36"/>
        <w:ind w:left="673" w:right="713"/>
        <w:jc w:val="left"/>
      </w:pPr>
      <w:r>
        <w:rPr/>
        <w:t>②组合中，按账龄分析法计提坏账准备的其他应收款</w:t>
      </w:r>
    </w:p>
    <w:p>
      <w:pPr>
        <w:spacing w:line="240" w:lineRule="auto" w:before="9"/>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37"/>
        <w:gridCol w:w="2407"/>
        <w:gridCol w:w="2410"/>
        <w:gridCol w:w="1702"/>
      </w:tblGrid>
      <w:tr>
        <w:trPr>
          <w:trHeight w:val="350" w:hRule="exact"/>
        </w:trPr>
        <w:tc>
          <w:tcPr>
            <w:tcW w:w="28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65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8" w:hRule="exact"/>
        </w:trPr>
        <w:tc>
          <w:tcPr>
            <w:tcW w:w="2837" w:type="dxa"/>
            <w:vMerge/>
            <w:tcBorders>
              <w:left w:val="single" w:sz="4" w:space="0" w:color="000000"/>
              <w:bottom w:val="single" w:sz="4" w:space="0" w:color="000000"/>
              <w:right w:val="single" w:sz="4" w:space="0" w:color="000000"/>
            </w:tcBorders>
          </w:tcPr>
          <w:p>
            <w:pP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4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16,476,023.82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822,801.19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4,555,323.00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455,532.30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827,379.38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330,951.75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1,031,241.54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824,993.23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275,635.00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220,508.00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4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488,885.60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391,108.48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23,654,488.34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3,045,894.95</w:t>
            </w:r>
          </w:p>
        </w:tc>
        <w:tc>
          <w:tcPr>
            <w:tcW w:w="17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left="673" w:right="713"/>
        <w:jc w:val="left"/>
      </w:pPr>
      <w:r>
        <w:rPr/>
        <w:t>（续）</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837"/>
        <w:gridCol w:w="2407"/>
        <w:gridCol w:w="2410"/>
        <w:gridCol w:w="1702"/>
      </w:tblGrid>
      <w:tr>
        <w:trPr>
          <w:trHeight w:val="350" w:hRule="exact"/>
        </w:trPr>
        <w:tc>
          <w:tcPr>
            <w:tcW w:w="28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65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2837" w:type="dxa"/>
            <w:vMerge/>
            <w:tcBorders>
              <w:left w:val="single" w:sz="4" w:space="0" w:color="000000"/>
              <w:bottom w:val="single" w:sz="4" w:space="0" w:color="000000"/>
              <w:right w:val="single" w:sz="4" w:space="0" w:color="000000"/>
            </w:tcBorders>
          </w:tcPr>
          <w:p>
            <w:pP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4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4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t>(%)</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21,243,846.29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1,062,192.31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1,783,283.99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178,328.40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10.00</w:t>
            </w:r>
          </w:p>
        </w:tc>
      </w:tr>
      <w:tr>
        <w:trPr>
          <w:trHeight w:val="34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1,149,832.15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459,932.86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347,683.38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278,146.70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491,147.00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392,917.60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150,195.60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120,156.48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80.00</w:t>
            </w:r>
          </w:p>
        </w:tc>
      </w:tr>
      <w:tr>
        <w:trPr>
          <w:trHeight w:val="35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25,165,988.41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2,491,674.35</w:t>
            </w:r>
          </w:p>
        </w:tc>
        <w:tc>
          <w:tcPr>
            <w:tcW w:w="17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before="50"/>
        <w:ind w:left="673" w:right="2987"/>
        <w:jc w:val="left"/>
      </w:pPr>
      <w:r>
        <w:rPr>
          <w:spacing w:val="-2"/>
        </w:rPr>
        <w:t>（2）本期计提、收回或转回的坏账准备情况</w:t>
      </w:r>
      <w:r>
        <w:rPr>
          <w:spacing w:val="-69"/>
        </w:rPr>
        <w:t> </w:t>
      </w:r>
      <w:r>
        <w:rPr>
          <w:spacing w:val="-69"/>
        </w:rPr>
      </w:r>
      <w:r>
        <w:rPr/>
        <w:t>本期提坏账准备金额</w:t>
      </w:r>
      <w:r>
        <w:rPr>
          <w:spacing w:val="-54"/>
        </w:rPr>
        <w:t> </w:t>
      </w:r>
      <w:r>
        <w:rPr/>
        <w:t>1,028,912.95</w:t>
      </w:r>
      <w:r>
        <w:rPr>
          <w:spacing w:val="-56"/>
        </w:rPr>
        <w:t> </w:t>
      </w:r>
      <w:r>
        <w:rPr/>
        <w:t>元。</w:t>
      </w:r>
    </w:p>
    <w:p>
      <w:pPr>
        <w:pStyle w:val="BodyText"/>
        <w:spacing w:line="240" w:lineRule="auto" w:before="8"/>
        <w:ind w:left="673" w:right="713"/>
        <w:jc w:val="left"/>
      </w:pPr>
      <w:r>
        <w:rPr/>
        <w:t>（3）本期实际核销的其他应收款情况</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819"/>
        <w:gridCol w:w="4536"/>
      </w:tblGrid>
      <w:tr>
        <w:trPr>
          <w:trHeight w:val="355"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358"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50,000.00</w:t>
            </w:r>
          </w:p>
        </w:tc>
      </w:tr>
    </w:tbl>
    <w:p>
      <w:pPr>
        <w:pStyle w:val="BodyText"/>
        <w:spacing w:line="240" w:lineRule="auto" w:before="74"/>
        <w:ind w:left="673" w:right="713"/>
        <w:jc w:val="left"/>
      </w:pPr>
      <w:r>
        <w:rPr/>
        <w:t>其中重要的其他应收款核销情况</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138"/>
        <w:gridCol w:w="1548"/>
        <w:gridCol w:w="1418"/>
        <w:gridCol w:w="1558"/>
        <w:gridCol w:w="1418"/>
        <w:gridCol w:w="1274"/>
      </w:tblGrid>
      <w:tr>
        <w:trPr>
          <w:trHeight w:val="478"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6" w:right="0"/>
              <w:jc w:val="left"/>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3"/>
              <w:jc w:val="center"/>
              <w:rPr>
                <w:rFonts w:ascii="宋体" w:hAnsi="宋体" w:cs="宋体" w:eastAsia="宋体" w:hint="default"/>
                <w:sz w:val="18"/>
                <w:szCs w:val="18"/>
              </w:rPr>
            </w:pPr>
            <w:r>
              <w:rPr>
                <w:rFonts w:ascii="宋体" w:hAnsi="宋体" w:cs="宋体" w:eastAsia="宋体" w:hint="default"/>
                <w:b/>
                <w:bCs/>
                <w:sz w:val="18"/>
                <w:szCs w:val="18"/>
              </w:rPr>
              <w:t>履行的核销程序</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b/>
                <w:bCs/>
                <w:sz w:val="18"/>
                <w:szCs w:val="18"/>
              </w:rPr>
              <w:t>是</w:t>
            </w:r>
            <w:r>
              <w:rPr>
                <w:rFonts w:ascii="宋体" w:hAnsi="宋体" w:cs="宋体" w:eastAsia="宋体" w:hint="default"/>
                <w:b/>
                <w:bCs/>
                <w:spacing w:val="-63"/>
                <w:sz w:val="18"/>
                <w:szCs w:val="18"/>
              </w:rPr>
              <w:t> </w:t>
            </w:r>
            <w:r>
              <w:rPr>
                <w:rFonts w:ascii="宋体" w:hAnsi="宋体" w:cs="宋体" w:eastAsia="宋体" w:hint="default"/>
                <w:b/>
                <w:bCs/>
                <w:sz w:val="18"/>
                <w:szCs w:val="18"/>
              </w:rPr>
              <w:t>否</w:t>
            </w:r>
            <w:r>
              <w:rPr>
                <w:rFonts w:ascii="宋体" w:hAnsi="宋体" w:cs="宋体" w:eastAsia="宋体" w:hint="default"/>
                <w:b/>
                <w:bCs/>
                <w:spacing w:val="-63"/>
                <w:sz w:val="18"/>
                <w:szCs w:val="18"/>
              </w:rPr>
              <w:t> </w:t>
            </w:r>
            <w:r>
              <w:rPr>
                <w:rFonts w:ascii="宋体" w:hAnsi="宋体" w:cs="宋体" w:eastAsia="宋体" w:hint="default"/>
                <w:b/>
                <w:bCs/>
                <w:sz w:val="18"/>
                <w:szCs w:val="18"/>
              </w:rPr>
              <w:t>因</w:t>
            </w:r>
            <w:r>
              <w:rPr>
                <w:rFonts w:ascii="宋体" w:hAnsi="宋体" w:cs="宋体" w:eastAsia="宋体" w:hint="default"/>
                <w:b/>
                <w:bCs/>
                <w:spacing w:val="-66"/>
                <w:sz w:val="18"/>
                <w:szCs w:val="18"/>
              </w:rPr>
              <w:t> </w:t>
            </w:r>
            <w:r>
              <w:rPr>
                <w:rFonts w:ascii="宋体" w:hAnsi="宋体" w:cs="宋体" w:eastAsia="宋体" w:hint="default"/>
                <w:b/>
                <w:bCs/>
                <w:sz w:val="18"/>
                <w:szCs w:val="18"/>
              </w:rPr>
              <w:t>关</w:t>
            </w:r>
            <w:r>
              <w:rPr>
                <w:rFonts w:ascii="宋体" w:hAnsi="宋体" w:cs="宋体" w:eastAsia="宋体" w:hint="default"/>
                <w:b/>
                <w:bCs/>
                <w:spacing w:val="-63"/>
                <w:sz w:val="18"/>
                <w:szCs w:val="18"/>
              </w:rPr>
              <w:t> </w:t>
            </w:r>
            <w:r>
              <w:rPr>
                <w:rFonts w:ascii="宋体" w:hAnsi="宋体" w:cs="宋体" w:eastAsia="宋体" w:hint="default"/>
                <w:b/>
                <w:bCs/>
                <w:sz w:val="18"/>
                <w:szCs w:val="18"/>
              </w:rPr>
              <w:t>联</w:t>
            </w:r>
            <w:r>
              <w:rPr>
                <w:rFonts w:ascii="宋体" w:hAnsi="宋体" w:cs="宋体" w:eastAsia="宋体" w:hint="default"/>
                <w:b/>
                <w:bCs/>
                <w:spacing w:val="-66"/>
                <w:sz w:val="18"/>
                <w:szCs w:val="18"/>
              </w:rPr>
              <w:t> </w:t>
            </w:r>
            <w:r>
              <w:rPr>
                <w:rFonts w:ascii="宋体" w:hAnsi="宋体" w:cs="宋体" w:eastAsia="宋体" w:hint="default"/>
                <w:b/>
                <w:bCs/>
                <w:sz w:val="18"/>
                <w:szCs w:val="18"/>
              </w:rPr>
              <w:t>交</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易产生</w:t>
            </w:r>
            <w:r>
              <w:rPr>
                <w:rFonts w:ascii="宋体" w:hAnsi="宋体" w:cs="宋体" w:eastAsia="宋体" w:hint="default"/>
                <w:sz w:val="18"/>
                <w:szCs w:val="18"/>
              </w:rPr>
            </w:r>
          </w:p>
        </w:tc>
      </w:tr>
      <w:tr>
        <w:trPr>
          <w:trHeight w:val="478"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北京信远时代房地产开发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购房定金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购房款预付定金不</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能退回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4"/>
        <w:ind w:left="673" w:right="713"/>
        <w:jc w:val="left"/>
      </w:pPr>
      <w:r>
        <w:rPr/>
        <w:t>（4）其他应收款按款项性质分类情况</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88"/>
        <w:gridCol w:w="3175"/>
        <w:gridCol w:w="2892"/>
      </w:tblGrid>
      <w:tr>
        <w:trPr>
          <w:trHeight w:val="358"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1"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0"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35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75" w:type="dxa"/>
            <w:tcBorders>
              <w:top w:val="single" w:sz="4" w:space="0" w:color="000000"/>
              <w:left w:val="single" w:sz="4" w:space="0" w:color="000000"/>
              <w:bottom w:val="single" w:sz="4" w:space="0" w:color="000000"/>
              <w:right w:val="single" w:sz="4" w:space="0" w:color="000000"/>
            </w:tcBorders>
          </w:tcPr>
          <w:p>
            <w:pP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6"/>
              <w:jc w:val="right"/>
              <w:rPr>
                <w:rFonts w:ascii="宋体" w:hAnsi="宋体" w:cs="宋体" w:eastAsia="宋体" w:hint="default"/>
                <w:sz w:val="18"/>
                <w:szCs w:val="18"/>
              </w:rPr>
            </w:pPr>
            <w:r>
              <w:rPr>
                <w:rFonts w:ascii="宋体"/>
                <w:sz w:val="18"/>
              </w:rPr>
              <w:t>5,090,615.64</w:t>
            </w:r>
          </w:p>
        </w:tc>
      </w:tr>
      <w:tr>
        <w:trPr>
          <w:trHeight w:val="35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818,294.46</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6"/>
              <w:jc w:val="right"/>
              <w:rPr>
                <w:rFonts w:ascii="宋体" w:hAnsi="宋体" w:cs="宋体" w:eastAsia="宋体" w:hint="default"/>
                <w:sz w:val="18"/>
                <w:szCs w:val="18"/>
              </w:rPr>
            </w:pPr>
            <w:r>
              <w:rPr>
                <w:rFonts w:ascii="宋体"/>
                <w:sz w:val="18"/>
              </w:rPr>
              <w:t>308,964.95</w:t>
            </w:r>
          </w:p>
        </w:tc>
      </w:tr>
      <w:tr>
        <w:trPr>
          <w:trHeight w:val="358"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宋体" w:hAnsi="宋体" w:cs="宋体" w:eastAsia="宋体" w:hint="default"/>
                <w:sz w:val="18"/>
                <w:szCs w:val="18"/>
              </w:rPr>
            </w:pPr>
            <w:r>
              <w:rPr>
                <w:rFonts w:ascii="宋体"/>
                <w:sz w:val="18"/>
              </w:rPr>
              <w:t>3,560,217.49</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1,853,305.60</w:t>
            </w:r>
          </w:p>
        </w:tc>
      </w:tr>
    </w:tbl>
    <w:p>
      <w:pPr>
        <w:spacing w:after="0" w:line="240" w:lineRule="auto"/>
        <w:jc w:val="right"/>
        <w:rPr>
          <w:rFonts w:ascii="宋体" w:hAnsi="宋体" w:cs="宋体" w:eastAsia="宋体" w:hint="default"/>
          <w:sz w:val="18"/>
          <w:szCs w:val="18"/>
        </w:rPr>
        <w:sectPr>
          <w:pgSz w:w="11910" w:h="16840"/>
          <w:pgMar w:header="884" w:footer="1219" w:top="1140" w:bottom="1400" w:left="1220" w:right="1100"/>
        </w:sect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88"/>
        <w:gridCol w:w="3175"/>
        <w:gridCol w:w="2892"/>
      </w:tblGrid>
      <w:tr>
        <w:trPr>
          <w:trHeight w:val="358"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
              <w:jc w:val="right"/>
              <w:rPr>
                <w:rFonts w:ascii="宋体" w:hAnsi="宋体" w:cs="宋体" w:eastAsia="宋体" w:hint="default"/>
                <w:sz w:val="18"/>
                <w:szCs w:val="18"/>
              </w:rPr>
            </w:pPr>
            <w:r>
              <w:rPr>
                <w:rFonts w:ascii="宋体"/>
                <w:sz w:val="18"/>
              </w:rPr>
              <w:t>23,735,915.04</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23,263,865.07</w:t>
            </w:r>
          </w:p>
        </w:tc>
      </w:tr>
      <w:tr>
        <w:trPr>
          <w:trHeight w:val="35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往来及其他款项</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8,092,438.07</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6"/>
              <w:jc w:val="right"/>
              <w:rPr>
                <w:rFonts w:ascii="宋体" w:hAnsi="宋体" w:cs="宋体" w:eastAsia="宋体" w:hint="default"/>
                <w:sz w:val="18"/>
                <w:szCs w:val="18"/>
              </w:rPr>
            </w:pPr>
            <w:r>
              <w:rPr>
                <w:rFonts w:ascii="宋体"/>
                <w:sz w:val="18"/>
              </w:rPr>
              <w:t>8,518,468.00</w:t>
            </w:r>
          </w:p>
        </w:tc>
      </w:tr>
      <w:tr>
        <w:trPr>
          <w:trHeight w:val="358"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36,206,865.06</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
              <w:jc w:val="right"/>
              <w:rPr>
                <w:rFonts w:ascii="宋体" w:hAnsi="宋体" w:cs="宋体" w:eastAsia="宋体" w:hint="default"/>
                <w:sz w:val="18"/>
                <w:szCs w:val="18"/>
              </w:rPr>
            </w:pPr>
            <w:r>
              <w:rPr>
                <w:rFonts w:ascii="宋体"/>
                <w:sz w:val="18"/>
              </w:rPr>
              <w:t>39,035,219.26</w:t>
            </w:r>
          </w:p>
        </w:tc>
      </w:tr>
    </w:tbl>
    <w:p>
      <w:pPr>
        <w:pStyle w:val="BodyText"/>
        <w:spacing w:line="240" w:lineRule="auto" w:before="74"/>
        <w:ind w:left="673" w:right="713"/>
        <w:jc w:val="left"/>
      </w:pPr>
      <w:r>
        <w:rPr/>
        <w:t>（5）按欠款方归集的期末余额前五名的其他应收款情况</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86"/>
        <w:gridCol w:w="1164"/>
        <w:gridCol w:w="1570"/>
        <w:gridCol w:w="1634"/>
        <w:gridCol w:w="1344"/>
        <w:gridCol w:w="1558"/>
      </w:tblGrid>
      <w:tr>
        <w:trPr>
          <w:trHeight w:val="71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占其他应收款期</w:t>
            </w:r>
            <w:r>
              <w:rPr>
                <w:rFonts w:ascii="宋体" w:hAnsi="宋体" w:cs="宋体" w:eastAsia="宋体" w:hint="default"/>
                <w:sz w:val="18"/>
                <w:szCs w:val="18"/>
              </w:rPr>
            </w:r>
          </w:p>
          <w:p>
            <w:pPr>
              <w:pStyle w:val="TableParagraph"/>
              <w:spacing w:line="232" w:lineRule="exact" w:before="24"/>
              <w:ind w:left="24" w:right="43"/>
              <w:jc w:val="left"/>
              <w:rPr>
                <w:rFonts w:ascii="宋体" w:hAnsi="宋体" w:cs="宋体" w:eastAsia="宋体" w:hint="default"/>
                <w:sz w:val="18"/>
                <w:szCs w:val="18"/>
              </w:rPr>
            </w:pPr>
            <w:r>
              <w:rPr>
                <w:rFonts w:ascii="宋体" w:hAnsi="宋体" w:cs="宋体" w:eastAsia="宋体" w:hint="default"/>
                <w:b/>
                <w:bCs/>
                <w:sz w:val="18"/>
                <w:szCs w:val="18"/>
              </w:rPr>
              <w:t>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410" w:right="412"/>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78"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中国移动通信集团云南有</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8" w:right="0"/>
              <w:jc w:val="left"/>
              <w:rPr>
                <w:rFonts w:ascii="宋体" w:hAnsi="宋体" w:cs="宋体" w:eastAsia="宋体" w:hint="default"/>
                <w:sz w:val="18"/>
                <w:szCs w:val="18"/>
              </w:rPr>
            </w:pPr>
            <w:r>
              <w:rPr>
                <w:rFonts w:ascii="宋体"/>
                <w:sz w:val="18"/>
              </w:rPr>
              <w:t>2,000,000.00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5.52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200,000.00</w:t>
            </w:r>
          </w:p>
        </w:tc>
      </w:tr>
      <w:tr>
        <w:trPr>
          <w:trHeight w:val="478"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中国移动通信集团贵州有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8" w:right="0"/>
              <w:jc w:val="left"/>
              <w:rPr>
                <w:rFonts w:ascii="宋体" w:hAnsi="宋体" w:cs="宋体" w:eastAsia="宋体" w:hint="default"/>
                <w:sz w:val="18"/>
                <w:szCs w:val="18"/>
              </w:rPr>
            </w:pPr>
            <w:r>
              <w:rPr>
                <w:rFonts w:ascii="宋体"/>
                <w:sz w:val="18"/>
              </w:rPr>
              <w:t>1,936,016.87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774,406.75</w:t>
            </w:r>
          </w:p>
        </w:tc>
      </w:tr>
      <w:tr>
        <w:trPr>
          <w:trHeight w:val="47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中国铁塔股份有限公司广</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东省分公司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8" w:right="0"/>
              <w:jc w:val="left"/>
              <w:rPr>
                <w:rFonts w:ascii="宋体" w:hAnsi="宋体" w:cs="宋体" w:eastAsia="宋体" w:hint="default"/>
                <w:sz w:val="18"/>
                <w:szCs w:val="18"/>
              </w:rPr>
            </w:pPr>
            <w:r>
              <w:rPr>
                <w:rFonts w:ascii="宋体"/>
                <w:sz w:val="18"/>
              </w:rPr>
              <w:t>1,600,000.00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4.42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80,000.00</w:t>
            </w:r>
          </w:p>
        </w:tc>
      </w:tr>
      <w:tr>
        <w:trPr>
          <w:trHeight w:val="478"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北京泰禾信康科技孵化器</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8" w:right="0"/>
              <w:jc w:val="left"/>
              <w:rPr>
                <w:rFonts w:ascii="宋体" w:hAnsi="宋体" w:cs="宋体" w:eastAsia="宋体" w:hint="default"/>
                <w:sz w:val="18"/>
                <w:szCs w:val="18"/>
              </w:rPr>
            </w:pPr>
            <w:r>
              <w:rPr>
                <w:rFonts w:ascii="宋体"/>
                <w:sz w:val="18"/>
              </w:rPr>
              <w:t>1,281,550.00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394,6</w:t>
            </w:r>
            <w:r>
              <w:rPr>
                <w:rFonts w:ascii="宋体" w:hAnsi="宋体" w:cs="宋体" w:eastAsia="宋体" w:hint="default"/>
                <w:spacing w:val="-3"/>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1</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年以内</w:t>
            </w:r>
            <w:r>
              <w:rPr>
                <w:rFonts w:ascii="宋体" w:hAnsi="宋体" w:cs="宋体" w:eastAsia="宋体" w:hint="default"/>
                <w:spacing w:val="-45"/>
                <w:sz w:val="18"/>
                <w:szCs w:val="18"/>
              </w:rPr>
              <w:t> </w:t>
            </w:r>
            <w:r>
              <w:rPr>
                <w:rFonts w:ascii="宋体" w:hAnsi="宋体" w:cs="宋体" w:eastAsia="宋体" w:hint="default"/>
                <w:sz w:val="18"/>
                <w:szCs w:val="18"/>
              </w:rPr>
              <w:t>886,950</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3.54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749,020.00</w:t>
            </w:r>
          </w:p>
        </w:tc>
      </w:tr>
      <w:tr>
        <w:trPr>
          <w:trHeight w:val="478"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中国铁塔股份有限公司河</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南省分公司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8" w:right="0"/>
              <w:jc w:val="left"/>
              <w:rPr>
                <w:rFonts w:ascii="宋体" w:hAnsi="宋体" w:cs="宋体" w:eastAsia="宋体" w:hint="default"/>
                <w:sz w:val="18"/>
                <w:szCs w:val="18"/>
              </w:rPr>
            </w:pPr>
            <w:r>
              <w:rPr>
                <w:rFonts w:ascii="宋体"/>
                <w:sz w:val="18"/>
              </w:rPr>
              <w:t>1,200,000.00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110</w:t>
            </w:r>
            <w:r>
              <w:rPr>
                <w:rFonts w:ascii="宋体" w:hAnsi="宋体" w:cs="宋体" w:eastAsia="宋体" w:hint="default"/>
                <w:spacing w:val="-46"/>
                <w:sz w:val="18"/>
                <w:szCs w:val="18"/>
              </w:rPr>
              <w:t> </w:t>
            </w:r>
            <w:r>
              <w:rPr>
                <w:rFonts w:ascii="宋体" w:hAnsi="宋体" w:cs="宋体" w:eastAsia="宋体" w:hint="default"/>
                <w:sz w:val="18"/>
                <w:szCs w:val="18"/>
              </w:rPr>
              <w:t>万；2-3</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3.31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150,000.00</w:t>
            </w:r>
          </w:p>
        </w:tc>
      </w:tr>
      <w:tr>
        <w:trPr>
          <w:trHeight w:val="350"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sz w:val="18"/>
              </w:rPr>
              <w:t>8,017,566.87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22.14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1,953,426.75</w:t>
            </w:r>
          </w:p>
        </w:tc>
      </w:tr>
    </w:tbl>
    <w:p>
      <w:pPr>
        <w:spacing w:line="240" w:lineRule="auto" w:before="2"/>
        <w:rPr>
          <w:rFonts w:ascii="宋体" w:hAnsi="宋体" w:cs="宋体" w:eastAsia="宋体" w:hint="default"/>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8、存货</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262"/>
        <w:gridCol w:w="2268"/>
        <w:gridCol w:w="1843"/>
        <w:gridCol w:w="1982"/>
      </w:tblGrid>
      <w:tr>
        <w:trPr>
          <w:trHeight w:val="353"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5" w:hRule="exact"/>
        </w:trPr>
        <w:tc>
          <w:tcPr>
            <w:tcW w:w="3262"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4"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2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5,342,112.31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5,342,112.31</w:t>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5,342,112.31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5,342,112.31</w:t>
            </w:r>
          </w:p>
        </w:tc>
      </w:tr>
    </w:tbl>
    <w:p>
      <w:pPr>
        <w:pStyle w:val="BodyText"/>
        <w:spacing w:line="240" w:lineRule="auto" w:before="74"/>
        <w:ind w:left="673" w:right="713"/>
        <w:jc w:val="left"/>
      </w:pPr>
      <w:r>
        <w:rPr/>
        <w:t>（续）</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62"/>
        <w:gridCol w:w="2268"/>
        <w:gridCol w:w="1843"/>
        <w:gridCol w:w="1982"/>
      </w:tblGrid>
      <w:tr>
        <w:trPr>
          <w:trHeight w:val="355"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6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3262"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4"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3,298,028.05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3,298,028.05</w:t>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3,298,028.05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z w:val="18"/>
              </w:rPr>
              <w:t>3,298,028.05</w:t>
            </w:r>
          </w:p>
        </w:tc>
      </w:tr>
    </w:tbl>
    <w:p>
      <w:pPr>
        <w:spacing w:line="240" w:lineRule="auto" w:before="2"/>
        <w:rPr>
          <w:rFonts w:ascii="宋体" w:hAnsi="宋体" w:cs="宋体" w:eastAsia="宋体" w:hint="default"/>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9、其他流动资产</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3686"/>
        <w:gridCol w:w="2976"/>
        <w:gridCol w:w="2693"/>
      </w:tblGrid>
      <w:tr>
        <w:trPr>
          <w:trHeight w:val="37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理财存款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173,000,000.00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218,000,000.00</w:t>
            </w:r>
          </w:p>
        </w:tc>
      </w:tr>
      <w:tr>
        <w:trPr>
          <w:trHeight w:val="37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7,246,624.91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5,612,331.17</w:t>
            </w:r>
          </w:p>
        </w:tc>
      </w:tr>
      <w:tr>
        <w:trPr>
          <w:trHeight w:val="37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预交增值税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宋体" w:hAnsi="宋体" w:cs="宋体" w:eastAsia="宋体" w:hint="default"/>
                <w:sz w:val="18"/>
                <w:szCs w:val="18"/>
              </w:rPr>
            </w:pPr>
            <w:r>
              <w:rPr>
                <w:rFonts w:ascii="宋体"/>
                <w:sz w:val="18"/>
              </w:rPr>
              <w:t>5,112,319.71</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其他待摊费用等</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1,487,506.83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1,075,969.20</w:t>
            </w:r>
          </w:p>
        </w:tc>
      </w:tr>
      <w:tr>
        <w:trPr>
          <w:trHeight w:val="37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186,846,451.45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224,688,300.37</w:t>
            </w:r>
          </w:p>
        </w:tc>
      </w:tr>
    </w:tbl>
    <w:p>
      <w:pPr>
        <w:spacing w:line="240" w:lineRule="auto" w:before="5"/>
        <w:rPr>
          <w:rFonts w:ascii="宋体" w:hAnsi="宋体" w:cs="宋体" w:eastAsia="宋体" w:hint="default"/>
          <w:b/>
          <w:bCs/>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10、固定资产</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1702"/>
        <w:gridCol w:w="1560"/>
        <w:gridCol w:w="1558"/>
        <w:gridCol w:w="1560"/>
        <w:gridCol w:w="1418"/>
        <w:gridCol w:w="1558"/>
      </w:tblGrid>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b/>
                <w:bCs/>
                <w:sz w:val="18"/>
                <w:szCs w:val="18"/>
              </w:rPr>
              <w:t>仪器仪表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宋体" w:hAnsi="宋体" w:cs="宋体" w:eastAsia="宋体" w:hint="default"/>
                <w:sz w:val="18"/>
                <w:szCs w:val="18"/>
              </w:rPr>
            </w:pPr>
            <w:r>
              <w:rPr>
                <w:rFonts w:ascii="宋体" w:hAnsi="宋体" w:cs="宋体" w:eastAsia="宋体" w:hint="default"/>
                <w:b/>
                <w:bCs/>
                <w:sz w:val="18"/>
                <w:szCs w:val="18"/>
              </w:rPr>
              <w:t>办公及电子设备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b/>
                <w:bCs/>
                <w:sz w:val="18"/>
                <w:szCs w:val="18"/>
              </w:rPr>
              <w:t>其他设备</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29,291,499.70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69,540,279.21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15,569,248.71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650,412.10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115,051,439.72</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5,157,266.12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24,958,773.41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1,040,625.78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96,341.15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31,253,006.46</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5,157,266.12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24,958,773.41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1,040,625.78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96,341.15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31,253,006.46</w:t>
            </w:r>
          </w:p>
        </w:tc>
      </w:tr>
    </w:tbl>
    <w:p>
      <w:pPr>
        <w:spacing w:after="0" w:line="240" w:lineRule="auto"/>
        <w:jc w:val="right"/>
        <w:rPr>
          <w:rFonts w:ascii="宋体" w:hAnsi="宋体" w:cs="宋体" w:eastAsia="宋体" w:hint="default"/>
          <w:sz w:val="18"/>
          <w:szCs w:val="18"/>
        </w:rPr>
        <w:sectPr>
          <w:pgSz w:w="11910" w:h="16840"/>
          <w:pgMar w:header="884" w:footer="1219" w:top="1140" w:bottom="1400" w:left="1220" w:right="1100"/>
        </w:sectPr>
      </w:pPr>
    </w:p>
    <w:p>
      <w:pPr>
        <w:spacing w:line="240" w:lineRule="auto" w:before="0"/>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1702"/>
        <w:gridCol w:w="1560"/>
        <w:gridCol w:w="1558"/>
        <w:gridCol w:w="1560"/>
        <w:gridCol w:w="1418"/>
        <w:gridCol w:w="1558"/>
      </w:tblGrid>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b/>
                <w:bCs/>
                <w:sz w:val="18"/>
                <w:szCs w:val="18"/>
              </w:rPr>
              <w:t>仪器仪表</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宋体" w:hAnsi="宋体" w:cs="宋体" w:eastAsia="宋体" w:hint="default"/>
                <w:sz w:val="18"/>
                <w:szCs w:val="18"/>
              </w:rPr>
            </w:pPr>
            <w:r>
              <w:rPr>
                <w:rFonts w:ascii="宋体" w:hAnsi="宋体" w:cs="宋体" w:eastAsia="宋体" w:hint="default"/>
                <w:b/>
                <w:bCs/>
                <w:sz w:val="18"/>
                <w:szCs w:val="18"/>
              </w:rPr>
              <w:t>办公及电子设备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b/>
                <w:bCs/>
                <w:sz w:val="18"/>
                <w:szCs w:val="18"/>
              </w:rPr>
              <w:t>其他设备</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（2）在建工程转入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（3）企业合并增加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3,359,123.32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1,856,038.81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1,061,789.93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24,412.00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6,301,364.06</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3,359,123.32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1,856,038.81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1,061,789.93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24,412.00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6,301,364.06</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31,089,642.50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92,643,013.81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15,548,084.56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722,341.25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140,003,082.12</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13,266,854.81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24,130,918.39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10,958,890.39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367,517.38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48,724,180.97</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6,649,727.49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15,711,750.65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1,342,004.06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51,614.79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23,755,096.99</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6,649,727.49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14,462,932.29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1,302,050.76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51,614.79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22,466,325.33</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1,248,818.36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39,953.30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1,288,771.66</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3,093,288.81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1,623,306.09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1,007,988.38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22,626.82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5,747,210.10</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3,093,288.81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1,623,306.09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1,007,988.38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22,626.82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5,747,210.10</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16,823,293.49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38,219,362.95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11,292,906.07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396,505.35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66,732,067.86</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1、期末账面价值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14,266,349.01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54,423,650.86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4,255,178.49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325,835.90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73,271,014.26</w:t>
            </w:r>
          </w:p>
        </w:tc>
      </w:tr>
      <w:tr>
        <w:trPr>
          <w:trHeight w:val="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16,024,644.89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45,409,360.82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4,610,358.32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282,894.72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66,327,258.75</w:t>
            </w:r>
          </w:p>
        </w:tc>
      </w:tr>
    </w:tbl>
    <w:p>
      <w:pPr>
        <w:spacing w:line="240" w:lineRule="auto" w:before="5"/>
        <w:rPr>
          <w:rFonts w:ascii="宋体" w:hAnsi="宋体" w:cs="宋体" w:eastAsia="宋体" w:hint="default"/>
          <w:b/>
          <w:bCs/>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11、无形资产</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4032"/>
        <w:gridCol w:w="2580"/>
        <w:gridCol w:w="2746"/>
      </w:tblGrid>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2" w:right="0"/>
              <w:jc w:val="left"/>
              <w:rPr>
                <w:rFonts w:ascii="宋体" w:hAnsi="宋体" w:cs="宋体" w:eastAsia="宋体" w:hint="default"/>
                <w:sz w:val="18"/>
                <w:szCs w:val="18"/>
              </w:rPr>
            </w:pPr>
            <w:r>
              <w:rPr>
                <w:rFonts w:ascii="宋体" w:hAnsi="宋体" w:cs="宋体" w:eastAsia="宋体" w:hint="default"/>
                <w:b/>
                <w:bCs/>
                <w:sz w:val="18"/>
                <w:szCs w:val="18"/>
              </w:rPr>
              <w:t>业务、办公软件</w:t>
            </w:r>
            <w:r>
              <w:rPr>
                <w:rFonts w:ascii="宋体" w:hAnsi="宋体" w:cs="宋体" w:eastAsia="宋体" w:hint="default"/>
                <w:sz w:val="18"/>
                <w:szCs w:val="18"/>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79,530,470.71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79,530,470.71</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145,863.28</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145,863.28</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145,863.28</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145,863.28</w:t>
            </w:r>
          </w:p>
        </w:tc>
      </w:tr>
      <w:tr>
        <w:trPr>
          <w:trHeight w:val="348"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（2）内部研发</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（3）企业合并增加</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79,676,333.99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79,676,333.99</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22,179,056.10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22,179,056.10</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8,158,084.09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8,158,084.09</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8,158,084.09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8,158,084.09</w:t>
            </w:r>
          </w:p>
        </w:tc>
      </w:tr>
    </w:tbl>
    <w:p>
      <w:pPr>
        <w:spacing w:after="0" w:line="240" w:lineRule="auto"/>
        <w:jc w:val="right"/>
        <w:rPr>
          <w:rFonts w:ascii="宋体" w:hAnsi="宋体" w:cs="宋体" w:eastAsia="宋体" w:hint="default"/>
          <w:sz w:val="18"/>
          <w:szCs w:val="18"/>
        </w:rPr>
        <w:sectPr>
          <w:pgSz w:w="11910" w:h="16840"/>
          <w:pgMar w:header="884" w:footer="1219" w:top="1140" w:bottom="1400" w:left="1220" w:right="1100"/>
        </w:sectPr>
      </w:pPr>
    </w:p>
    <w:p>
      <w:pPr>
        <w:spacing w:line="240" w:lineRule="auto" w:before="0"/>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4032"/>
        <w:gridCol w:w="2580"/>
        <w:gridCol w:w="2746"/>
      </w:tblGrid>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30,337,140.19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30,337,140.19</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580" w:type="dxa"/>
            <w:tcBorders>
              <w:top w:val="single" w:sz="4" w:space="0" w:color="000000"/>
              <w:left w:val="single" w:sz="4" w:space="0" w:color="000000"/>
              <w:bottom w:val="single" w:sz="4" w:space="0" w:color="000000"/>
              <w:right w:val="single" w:sz="4" w:space="0" w:color="000000"/>
            </w:tcBorders>
          </w:tcPr>
          <w:p>
            <w:pPr/>
          </w:p>
        </w:tc>
        <w:tc>
          <w:tcPr>
            <w:tcW w:w="274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1、期末账面价值</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49,339,193.80</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49,339,193.80</w:t>
            </w:r>
          </w:p>
        </w:tc>
      </w:tr>
      <w:tr>
        <w:trPr>
          <w:trHeight w:val="350" w:hRule="exact"/>
        </w:trPr>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57,351,414.61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57,351,414.61</w:t>
            </w:r>
          </w:p>
        </w:tc>
      </w:tr>
    </w:tbl>
    <w:p>
      <w:pPr>
        <w:spacing w:line="240" w:lineRule="auto" w:before="5"/>
        <w:rPr>
          <w:rFonts w:ascii="宋体" w:hAnsi="宋体" w:cs="宋体" w:eastAsia="宋体" w:hint="default"/>
          <w:b/>
          <w:bCs/>
          <w:sz w:val="15"/>
          <w:szCs w:val="15"/>
        </w:rPr>
      </w:pPr>
    </w:p>
    <w:p>
      <w:pPr>
        <w:spacing w:before="36"/>
        <w:ind w:left="675" w:right="713" w:firstLine="0"/>
        <w:jc w:val="left"/>
        <w:rPr>
          <w:rFonts w:ascii="宋体" w:hAnsi="宋体" w:cs="宋体" w:eastAsia="宋体" w:hint="default"/>
          <w:sz w:val="21"/>
          <w:szCs w:val="21"/>
        </w:rPr>
      </w:pPr>
      <w:r>
        <w:rPr>
          <w:rFonts w:ascii="宋体" w:hAnsi="宋体" w:cs="宋体" w:eastAsia="宋体" w:hint="default"/>
          <w:b/>
          <w:bCs/>
          <w:sz w:val="21"/>
          <w:szCs w:val="21"/>
        </w:rPr>
        <w:t>12、商誉</w:t>
      </w:r>
      <w:r>
        <w:rPr>
          <w:rFonts w:ascii="宋体" w:hAnsi="宋体" w:cs="宋体" w:eastAsia="宋体" w:hint="default"/>
          <w:sz w:val="21"/>
          <w:szCs w:val="21"/>
        </w:rPr>
      </w:r>
    </w:p>
    <w:p>
      <w:pPr>
        <w:pStyle w:val="BodyText"/>
        <w:spacing w:line="240" w:lineRule="auto" w:before="20"/>
        <w:ind w:left="673" w:right="713"/>
        <w:jc w:val="left"/>
      </w:pPr>
      <w:r>
        <w:rPr/>
        <w:t>（1）商誉账面原值</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85"/>
        <w:gridCol w:w="1843"/>
        <w:gridCol w:w="1416"/>
        <w:gridCol w:w="710"/>
        <w:gridCol w:w="708"/>
        <w:gridCol w:w="710"/>
        <w:gridCol w:w="1982"/>
      </w:tblGrid>
      <w:tr>
        <w:trPr>
          <w:trHeight w:val="350" w:hRule="exact"/>
        </w:trPr>
        <w:tc>
          <w:tcPr>
            <w:tcW w:w="1985" w:type="dxa"/>
            <w:vMerge w:val="restart"/>
            <w:tcBorders>
              <w:top w:val="single" w:sz="4" w:space="0" w:color="000000"/>
              <w:left w:val="single" w:sz="4" w:space="0" w:color="000000"/>
              <w:right w:val="single" w:sz="4" w:space="0" w:color="000000"/>
            </w:tcBorders>
          </w:tcPr>
          <w:p>
            <w:pPr>
              <w:pStyle w:val="TableParagraph"/>
              <w:spacing w:line="232" w:lineRule="exact" w:before="107"/>
              <w:ind w:left="24" w:right="149"/>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98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2" w:type="dxa"/>
            <w:vMerge/>
            <w:tcBorders>
              <w:left w:val="single" w:sz="4" w:space="0" w:color="000000"/>
              <w:bottom w:val="single" w:sz="4" w:space="0" w:color="000000"/>
              <w:right w:val="single" w:sz="4" w:space="0" w:color="000000"/>
            </w:tcBorders>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广东长实通信股份有限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994,349,406.56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994,349,406.56</w:t>
            </w:r>
          </w:p>
        </w:tc>
      </w:tr>
      <w:tr>
        <w:trPr>
          <w:trHeight w:val="47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北京创世漫道科技有限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744,562,994.84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744,562,994.84</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29"/>
              <w:jc w:val="left"/>
              <w:rPr>
                <w:rFonts w:ascii="宋体" w:hAnsi="宋体" w:cs="宋体" w:eastAsia="宋体" w:hint="default"/>
                <w:sz w:val="18"/>
                <w:szCs w:val="18"/>
              </w:rPr>
            </w:pPr>
            <w:r>
              <w:rPr>
                <w:rFonts w:ascii="宋体" w:hAnsi="宋体" w:cs="宋体" w:eastAsia="宋体" w:hint="default"/>
                <w:sz w:val="18"/>
                <w:szCs w:val="18"/>
              </w:rPr>
              <w:t>新丝路融资租赁（深圳）</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1.00</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1,738,912,401.40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1,738,912,402.40</w:t>
            </w:r>
          </w:p>
        </w:tc>
      </w:tr>
    </w:tbl>
    <w:p>
      <w:pPr>
        <w:pStyle w:val="BodyText"/>
        <w:spacing w:line="273" w:lineRule="auto" w:before="81"/>
        <w:ind w:left="673" w:right="7116"/>
        <w:jc w:val="left"/>
      </w:pPr>
      <w:r>
        <w:rPr>
          <w:spacing w:val="-1"/>
        </w:rPr>
        <w:t>（2）商誉减值准备</w:t>
      </w:r>
      <w:r>
        <w:rPr>
          <w:spacing w:val="-95"/>
        </w:rPr>
        <w:t> </w:t>
      </w:r>
      <w:r>
        <w:rPr>
          <w:spacing w:val="-95"/>
        </w:rPr>
      </w:r>
      <w:r>
        <w:rPr/>
        <w:t>无</w:t>
      </w:r>
    </w:p>
    <w:p>
      <w:pPr>
        <w:pStyle w:val="BodyText"/>
        <w:spacing w:line="273" w:lineRule="auto"/>
        <w:ind w:left="673" w:right="0"/>
        <w:jc w:val="left"/>
      </w:pPr>
      <w:r>
        <w:rPr/>
        <w:t>（3）商誉减值测试过程、参数及商誉减值损失的确认方法：</w:t>
      </w:r>
      <w:r>
        <w:rPr>
          <w:w w:val="100"/>
        </w:rPr>
        <w:t> </w:t>
      </w:r>
      <w:r>
        <w:rPr>
          <w:spacing w:val="-2"/>
        </w:rPr>
        <w:t>本公司每年对商誉进行减值测试，公司已聘请中铭国际评估（北京）有限责任公司对本公司截</w:t>
      </w:r>
    </w:p>
    <w:p>
      <w:pPr>
        <w:pStyle w:val="BodyText"/>
        <w:spacing w:line="273" w:lineRule="auto" w:before="8"/>
        <w:ind w:left="253" w:right="310"/>
        <w:jc w:val="both"/>
      </w:pPr>
      <w:r>
        <w:rPr/>
        <w:t>止</w:t>
      </w:r>
      <w:r>
        <w:rPr>
          <w:spacing w:val="-38"/>
        </w:rPr>
        <w:t> </w:t>
      </w:r>
      <w:r>
        <w:rPr/>
        <w:t>2017</w:t>
      </w:r>
      <w:r>
        <w:rPr>
          <w:spacing w:val="-41"/>
        </w:rPr>
        <w:t> </w:t>
      </w:r>
      <w:r>
        <w:rPr/>
        <w:t>年</w:t>
      </w:r>
      <w:r>
        <w:rPr>
          <w:spacing w:val="-38"/>
        </w:rPr>
        <w:t> </w:t>
      </w:r>
      <w:r>
        <w:rPr/>
        <w:t>12</w:t>
      </w:r>
      <w:r>
        <w:rPr>
          <w:spacing w:val="-41"/>
        </w:rPr>
        <w:t> </w:t>
      </w:r>
      <w:r>
        <w:rPr/>
        <w:t>月</w:t>
      </w:r>
      <w:r>
        <w:rPr>
          <w:spacing w:val="-38"/>
        </w:rPr>
        <w:t> </w:t>
      </w:r>
      <w:r>
        <w:rPr/>
        <w:t>31</w:t>
      </w:r>
      <w:r>
        <w:rPr>
          <w:spacing w:val="-41"/>
        </w:rPr>
        <w:t> </w:t>
      </w:r>
      <w:r>
        <w:rPr/>
        <w:t>日商誉的减值情况进行评估，并针对北京创世漫道科技有限公司及广东长实通</w:t>
      </w:r>
      <w:r>
        <w:rPr>
          <w:w w:val="100"/>
        </w:rPr>
        <w:t> </w:t>
      </w:r>
      <w:r>
        <w:rPr/>
        <w:t>信科技有限公司收购形成的商誉分别出具中铭评报字</w:t>
      </w:r>
      <w:r>
        <w:rPr>
          <w:spacing w:val="7"/>
        </w:rPr>
        <w:t> </w:t>
      </w:r>
      <w:r>
        <w:rPr/>
        <w:t>[2018]第</w:t>
      </w:r>
      <w:r>
        <w:rPr>
          <w:spacing w:val="-50"/>
        </w:rPr>
        <w:t> </w:t>
      </w:r>
      <w:r>
        <w:rPr/>
        <w:t>0013</w:t>
      </w:r>
      <w:r>
        <w:rPr>
          <w:spacing w:val="-50"/>
        </w:rPr>
        <w:t> </w:t>
      </w:r>
      <w:r>
        <w:rPr>
          <w:spacing w:val="-3"/>
        </w:rPr>
        <w:t>号的《茂业通信网络股份有限</w:t>
      </w:r>
      <w:r>
        <w:rPr>
          <w:w w:val="100"/>
        </w:rPr>
        <w:t> </w:t>
      </w:r>
      <w:r>
        <w:rPr>
          <w:spacing w:val="2"/>
        </w:rPr>
        <w:t>公司资产减值测试事宜涉及的该公司并购北京创世漫道科技有限公司移动信息传输业务形成的商</w:t>
      </w:r>
      <w:r>
        <w:rPr>
          <w:spacing w:val="-20"/>
        </w:rPr>
        <w:t> </w:t>
      </w:r>
      <w:r>
        <w:rPr>
          <w:spacing w:val="-20"/>
        </w:rPr>
      </w:r>
      <w:r>
        <w:rPr/>
        <w:t>誉资产》资产评估报告、第 0012</w:t>
      </w:r>
      <w:r>
        <w:rPr>
          <w:spacing w:val="-23"/>
        </w:rPr>
        <w:t> </w:t>
      </w:r>
      <w:r>
        <w:rPr/>
        <w:t>号的《茂业通信网络股份有限公司资产减值测试事宜涉及的该公</w:t>
      </w:r>
      <w:r>
        <w:rPr>
          <w:w w:val="100"/>
        </w:rPr>
        <w:t> </w:t>
      </w:r>
      <w:r>
        <w:rPr>
          <w:spacing w:val="-2"/>
        </w:rPr>
        <w:t>司并购广东长实通信科技有限公司通信网络代维业务形成的商誉资产》资产评估报告，上述评估报</w:t>
      </w:r>
      <w:r>
        <w:rPr>
          <w:spacing w:val="-44"/>
        </w:rPr>
        <w:t> </w:t>
      </w:r>
      <w:r>
        <w:rPr>
          <w:spacing w:val="-44"/>
        </w:rPr>
      </w:r>
      <w:r>
        <w:rPr/>
        <w:t>告结果显示，本公司商誉未出现减值迹象。</w:t>
      </w:r>
    </w:p>
    <w:p>
      <w:pPr>
        <w:pStyle w:val="BodyText"/>
        <w:spacing w:line="240" w:lineRule="auto"/>
        <w:ind w:left="673" w:right="713"/>
        <w:jc w:val="left"/>
      </w:pPr>
      <w:r>
        <w:rPr/>
        <w:t>商誉减值测试情况如下：</w:t>
      </w:r>
    </w:p>
    <w:p>
      <w:pPr>
        <w:pStyle w:val="BodyText"/>
        <w:spacing w:line="273" w:lineRule="auto" w:before="37"/>
        <w:ind w:left="253" w:right="0" w:firstLine="420"/>
        <w:jc w:val="left"/>
      </w:pPr>
      <w:r>
        <w:rPr/>
        <w:t>①评估方法：商誉是不可辨认无形资产，因此对于商誉的减值测试需要估算与商誉相关的资产</w:t>
      </w:r>
      <w:r>
        <w:rPr>
          <w:w w:val="100"/>
        </w:rPr>
        <w:t> </w:t>
      </w:r>
      <w:r>
        <w:rPr>
          <w:spacing w:val="-4"/>
        </w:rPr>
        <w:t>组（CGU）的可收回金额来间接实现，即通过资产组（CGU）的预计未来现金流量的现值（在用价值）</w:t>
      </w:r>
      <w:r>
        <w:rPr>
          <w:spacing w:val="-46"/>
        </w:rPr>
        <w:t> </w:t>
      </w:r>
      <w:r>
        <w:rPr>
          <w:spacing w:val="-46"/>
        </w:rPr>
      </w:r>
      <w:r>
        <w:rPr/>
        <w:t>及公允价值扣除处置费用来实现。</w:t>
      </w:r>
    </w:p>
    <w:p>
      <w:pPr>
        <w:pStyle w:val="BodyText"/>
        <w:spacing w:line="273" w:lineRule="auto"/>
        <w:ind w:left="253" w:right="0" w:firstLine="420"/>
        <w:jc w:val="left"/>
      </w:pPr>
      <w:r>
        <w:rPr>
          <w:spacing w:val="-2"/>
        </w:rPr>
        <w:t>本次评估确定采用收益途径评估与商誉相关的资产组预计未来现金流量的现值，即与商誉相关</w:t>
      </w:r>
      <w:r>
        <w:rPr>
          <w:w w:val="100"/>
        </w:rPr>
        <w:t> </w:t>
      </w:r>
      <w:r>
        <w:rPr/>
        <w:t>资产组的在用价值。</w:t>
      </w:r>
    </w:p>
    <w:p>
      <w:pPr>
        <w:pStyle w:val="BodyText"/>
        <w:spacing w:line="273" w:lineRule="auto"/>
        <w:ind w:left="253" w:right="310" w:firstLine="420"/>
        <w:jc w:val="both"/>
      </w:pPr>
      <w:r>
        <w:rPr/>
        <w:t>②本次估算在用价值，对于未来收益的预测完全是基于长实会计主体现状使用资产组（CGU）</w:t>
      </w:r>
      <w:r>
        <w:rPr>
          <w:w w:val="100"/>
        </w:rPr>
        <w:t> </w:t>
      </w:r>
      <w:r>
        <w:rPr/>
        <w:t>的方式、力度以及使用能力等方面的因素，即按照目前状态及使用、管理水平使用资产组（CGU）</w:t>
      </w:r>
      <w:r>
        <w:rPr>
          <w:spacing w:val="-20"/>
        </w:rPr>
        <w:t> </w:t>
      </w:r>
      <w:r>
        <w:rPr>
          <w:spacing w:val="-20"/>
        </w:rPr>
      </w:r>
      <w:r>
        <w:rPr/>
        <w:t>可以获取的预测收益，采用收益途径方法进行测算。</w:t>
      </w:r>
    </w:p>
    <w:p>
      <w:pPr>
        <w:spacing w:after="0" w:line="273" w:lineRule="auto"/>
        <w:jc w:val="both"/>
        <w:sectPr>
          <w:pgSz w:w="11910" w:h="16840"/>
          <w:pgMar w:header="884" w:footer="1219" w:top="1140" w:bottom="1400" w:left="1220" w:right="1100"/>
        </w:sectPr>
      </w:pPr>
    </w:p>
    <w:p>
      <w:pPr>
        <w:pStyle w:val="BodyText"/>
        <w:spacing w:line="273" w:lineRule="auto" w:before="131"/>
        <w:ind w:right="0"/>
        <w:jc w:val="left"/>
      </w:pPr>
      <w:r>
        <w:rPr/>
        <w:t>收益途径是指将预期收益资本化或者折现，确定测试对象价值的评估方法。</w:t>
      </w:r>
      <w:r>
        <w:rPr>
          <w:w w:val="100"/>
        </w:rPr>
        <w:t> </w:t>
      </w:r>
      <w:r>
        <w:rPr>
          <w:spacing w:val="2"/>
        </w:rPr>
        <w:t>对于资产或资产组的收益法常用的具体方法为全投资自由现金流折现法或称企业自由现金流</w:t>
      </w:r>
    </w:p>
    <w:p>
      <w:pPr>
        <w:pStyle w:val="BodyText"/>
        <w:spacing w:line="240" w:lineRule="auto"/>
        <w:ind w:left="153" w:right="0"/>
        <w:jc w:val="left"/>
      </w:pPr>
      <w:r>
        <w:rPr/>
        <w:t>折现法。</w:t>
      </w:r>
    </w:p>
    <w:p>
      <w:pPr>
        <w:pStyle w:val="BodyText"/>
        <w:spacing w:line="273" w:lineRule="auto" w:before="37"/>
        <w:ind w:left="153" w:right="0" w:firstLine="420"/>
        <w:jc w:val="left"/>
      </w:pPr>
      <w:r>
        <w:rPr>
          <w:spacing w:val="-2"/>
        </w:rPr>
        <w:t>全投资自由现金流折现法中的现金流口径为归属于整体资产或资产组现金流，对应的折现率为</w:t>
      </w:r>
      <w:r>
        <w:rPr>
          <w:w w:val="100"/>
        </w:rPr>
        <w:t> </w:t>
      </w:r>
      <w:r>
        <w:rPr/>
        <w:t>加权平均资本成本，评估值内涵为整体资产或资产组的价值。</w:t>
      </w:r>
    </w:p>
    <w:p>
      <w:pPr>
        <w:pStyle w:val="BodyText"/>
        <w:spacing w:line="273" w:lineRule="auto" w:before="8"/>
        <w:ind w:left="153" w:right="0" w:firstLine="420"/>
        <w:jc w:val="left"/>
      </w:pPr>
      <w:r>
        <w:rPr>
          <w:spacing w:val="-2"/>
        </w:rPr>
        <w:t>企业自由现金流模型可以分为（所得）税前的现金流和（所得）税后的现金流。本次评估选用</w:t>
      </w:r>
      <w:r>
        <w:rPr>
          <w:w w:val="100"/>
        </w:rPr>
        <w:t> </w:t>
      </w:r>
      <w:r>
        <w:rPr/>
        <w:t>企业税前自由现金流折现模型。</w:t>
      </w:r>
    </w:p>
    <w:p>
      <w:pPr>
        <w:pStyle w:val="BodyText"/>
        <w:spacing w:line="240" w:lineRule="auto"/>
        <w:ind w:right="0"/>
        <w:jc w:val="left"/>
      </w:pPr>
      <w:r>
        <w:rPr/>
        <w:t>基本公式为：</w:t>
      </w:r>
    </w:p>
    <w:p>
      <w:pPr>
        <w:spacing w:line="108" w:lineRule="exact" w:before="96"/>
        <w:ind w:left="1311" w:right="0" w:firstLine="0"/>
        <w:jc w:val="left"/>
        <w:rPr>
          <w:rFonts w:ascii="宋体" w:hAnsi="宋体" w:cs="宋体" w:eastAsia="宋体" w:hint="default"/>
          <w:sz w:val="18"/>
          <w:szCs w:val="18"/>
        </w:rPr>
      </w:pPr>
      <w:r>
        <w:rPr>
          <w:rFonts w:ascii="宋体"/>
          <w:i/>
          <w:w w:val="94"/>
          <w:sz w:val="18"/>
        </w:rPr>
        <w:t>n</w:t>
      </w:r>
      <w:r>
        <w:rPr>
          <w:rFonts w:ascii="宋体"/>
          <w:sz w:val="18"/>
        </w:rPr>
      </w:r>
    </w:p>
    <w:p>
      <w:pPr>
        <w:tabs>
          <w:tab w:pos="1929" w:val="left" w:leader="none"/>
          <w:tab w:pos="2654" w:val="left" w:leader="none"/>
          <w:tab w:pos="3247" w:val="left" w:leader="none"/>
        </w:tabs>
        <w:spacing w:line="373" w:lineRule="exact" w:before="0"/>
        <w:ind w:left="611" w:right="0" w:firstLine="0"/>
        <w:jc w:val="left"/>
        <w:rPr>
          <w:rFonts w:ascii="宋体" w:hAnsi="宋体" w:cs="宋体" w:eastAsia="宋体" w:hint="default"/>
          <w:sz w:val="18"/>
          <w:szCs w:val="18"/>
        </w:rPr>
      </w:pPr>
      <w:r>
        <w:rPr/>
        <w:pict>
          <v:group style="position:absolute;margin-left:146.557556pt;margin-top:16.3062pt;width:46.65pt;height:.1pt;mso-position-horizontal-relative:page;mso-position-vertical-relative:paragraph;z-index:-858520" coordorigin="2931,326" coordsize="933,2">
            <v:shape style="position:absolute;left:2931;top:326;width:933;height:2" coordorigin="2931,326" coordsize="933,0" path="m2931,326l3864,326e" filled="false" stroked="true" strokeweight=".620400pt" strokecolor="#000000">
              <v:path arrowok="t"/>
            </v:shape>
            <w10:wrap type="none"/>
          </v:group>
        </w:pict>
      </w:r>
      <w:r>
        <w:rPr/>
        <w:pict>
          <v:group style="position:absolute;margin-left:211.147552pt;margin-top:16.3062pt;width:47.35pt;height:.1pt;mso-position-horizontal-relative:page;mso-position-vertical-relative:paragraph;z-index:-858496" coordorigin="4223,326" coordsize="947,2">
            <v:shape style="position:absolute;left:4223;top:326;width:947;height:2" coordorigin="4223,326" coordsize="947,0" path="m4223,326l5169,326e" filled="false" stroked="true" strokeweight=".620400pt" strokecolor="#000000">
              <v:path arrowok="t"/>
            </v:shape>
            <w10:wrap type="none"/>
          </v:group>
        </w:pict>
      </w:r>
      <w:r>
        <w:rPr/>
        <w:pict>
          <v:shape style="position:absolute;margin-left:126.119431pt;margin-top:5.443967pt;width:15.6pt;height:21.9pt;mso-position-horizontal-relative:page;mso-position-vertical-relative:paragraph;z-index:-858400" type="#_x0000_t202" filled="false" stroked="false">
            <v:textbox inset="0,0,0,0">
              <w:txbxContent>
                <w:p>
                  <w:pPr>
                    <w:spacing w:line="437" w:lineRule="exact" w:before="0"/>
                    <w:ind w:left="0" w:right="0" w:firstLine="0"/>
                    <w:jc w:val="left"/>
                    <w:rPr>
                      <w:rFonts w:ascii="Symbol" w:hAnsi="Symbol" w:cs="Symbol" w:eastAsia="Symbol" w:hint="default"/>
                      <w:sz w:val="43"/>
                      <w:szCs w:val="43"/>
                    </w:rPr>
                  </w:pPr>
                  <w:r>
                    <w:rPr>
                      <w:rFonts w:ascii="Symbol" w:hAnsi="Symbol" w:cs="Symbol" w:eastAsia="Symbol" w:hint="default"/>
                      <w:w w:val="101"/>
                      <w:sz w:val="43"/>
                      <w:szCs w:val="43"/>
                    </w:rPr>
                    <w:t></w:t>
                  </w:r>
                  <w:r>
                    <w:rPr>
                      <w:rFonts w:ascii="Symbol" w:hAnsi="Symbol" w:cs="Symbol" w:eastAsia="Symbol" w:hint="default"/>
                      <w:sz w:val="43"/>
                      <w:szCs w:val="43"/>
                    </w:rPr>
                  </w:r>
                </w:p>
              </w:txbxContent>
            </v:textbox>
            <w10:wrap type="none"/>
          </v:shape>
        </w:pict>
      </w:r>
      <w:r>
        <w:rPr>
          <w:rFonts w:ascii="宋体" w:hAnsi="宋体" w:cs="宋体" w:eastAsia="宋体" w:hint="default"/>
          <w:i/>
          <w:sz w:val="25"/>
          <w:szCs w:val="25"/>
        </w:rPr>
        <w:t>P</w:t>
      </w:r>
      <w:r>
        <w:rPr>
          <w:rFonts w:ascii="宋体" w:hAnsi="宋体" w:cs="宋体" w:eastAsia="宋体" w:hint="default"/>
          <w:i/>
          <w:spacing w:val="66"/>
          <w:sz w:val="25"/>
          <w:szCs w:val="25"/>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i/>
          <w:position w:val="17"/>
          <w:sz w:val="25"/>
          <w:szCs w:val="25"/>
        </w:rPr>
        <w:t>R</w:t>
      </w:r>
      <w:r>
        <w:rPr>
          <w:rFonts w:ascii="宋体" w:hAnsi="宋体" w:cs="宋体" w:eastAsia="宋体" w:hint="default"/>
          <w:i/>
          <w:spacing w:val="-101"/>
          <w:position w:val="17"/>
          <w:sz w:val="25"/>
          <w:szCs w:val="25"/>
        </w:rPr>
        <w:t> </w:t>
      </w:r>
      <w:r>
        <w:rPr>
          <w:rFonts w:ascii="宋体" w:hAnsi="宋体" w:cs="宋体" w:eastAsia="宋体" w:hint="default"/>
          <w:i/>
          <w:position w:val="11"/>
          <w:sz w:val="18"/>
          <w:szCs w:val="18"/>
        </w:rPr>
        <w:t>i</w:t>
        <w:tab/>
      </w: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pacing w:val="-3"/>
          <w:position w:val="17"/>
          <w:sz w:val="24"/>
          <w:szCs w:val="24"/>
        </w:rPr>
        <w:t>P</w:t>
      </w:r>
      <w:r>
        <w:rPr>
          <w:rFonts w:ascii="宋体" w:hAnsi="宋体" w:cs="宋体" w:eastAsia="宋体" w:hint="default"/>
          <w:i/>
          <w:spacing w:val="-3"/>
          <w:position w:val="11"/>
          <w:sz w:val="18"/>
          <w:szCs w:val="18"/>
        </w:rPr>
        <w:t>n</w:t>
      </w:r>
      <w:r>
        <w:rPr>
          <w:rFonts w:ascii="宋体" w:hAnsi="宋体" w:cs="宋体" w:eastAsia="宋体" w:hint="default"/>
          <w:spacing w:val="-3"/>
          <w:sz w:val="18"/>
          <w:szCs w:val="18"/>
        </w:rPr>
      </w:r>
    </w:p>
    <w:p>
      <w:pPr>
        <w:tabs>
          <w:tab w:pos="3689" w:val="left" w:leader="none"/>
        </w:tabs>
        <w:spacing w:line="32" w:lineRule="exact" w:before="0"/>
        <w:ind w:left="2386" w:right="0" w:firstLine="0"/>
        <w:jc w:val="left"/>
        <w:rPr>
          <w:rFonts w:ascii="宋体" w:hAnsi="宋体" w:cs="宋体" w:eastAsia="宋体" w:hint="default"/>
          <w:sz w:val="18"/>
          <w:szCs w:val="18"/>
        </w:rPr>
      </w:pPr>
      <w:r>
        <w:rPr>
          <w:rFonts w:ascii="宋体"/>
          <w:i/>
          <w:w w:val="90"/>
          <w:sz w:val="18"/>
        </w:rPr>
        <w:t>i</w:t>
        <w:tab/>
      </w:r>
      <w:r>
        <w:rPr>
          <w:rFonts w:ascii="宋体"/>
          <w:i/>
          <w:sz w:val="18"/>
        </w:rPr>
        <w:t>n</w:t>
      </w:r>
      <w:r>
        <w:rPr>
          <w:rFonts w:ascii="宋体"/>
          <w:sz w:val="18"/>
        </w:rPr>
      </w:r>
    </w:p>
    <w:p>
      <w:pPr>
        <w:spacing w:after="0" w:line="32" w:lineRule="exact"/>
        <w:jc w:val="left"/>
        <w:rPr>
          <w:rFonts w:ascii="宋体" w:hAnsi="宋体" w:cs="宋体" w:eastAsia="宋体" w:hint="default"/>
          <w:sz w:val="18"/>
          <w:szCs w:val="18"/>
        </w:rPr>
        <w:sectPr>
          <w:pgSz w:w="11910" w:h="16840"/>
          <w:pgMar w:header="884" w:footer="1219" w:top="1140" w:bottom="1400" w:left="1320" w:right="1100"/>
        </w:sectPr>
      </w:pPr>
    </w:p>
    <w:p>
      <w:pPr>
        <w:spacing w:line="308" w:lineRule="exact" w:before="0"/>
        <w:ind w:left="1198" w:right="-14" w:firstLine="0"/>
        <w:jc w:val="left"/>
        <w:rPr>
          <w:rFonts w:ascii="宋体" w:hAnsi="宋体" w:cs="宋体" w:eastAsia="宋体" w:hint="default"/>
          <w:sz w:val="24"/>
          <w:szCs w:val="24"/>
        </w:rPr>
      </w:pPr>
      <w:r>
        <w:rPr>
          <w:rFonts w:ascii="宋体" w:hAnsi="宋体" w:cs="宋体" w:eastAsia="宋体" w:hint="default"/>
          <w:i/>
          <w:position w:val="-4"/>
          <w:sz w:val="18"/>
          <w:szCs w:val="18"/>
        </w:rPr>
        <w:t>i</w:t>
      </w:r>
      <w:r>
        <w:rPr>
          <w:rFonts w:ascii="宋体" w:hAnsi="宋体" w:cs="宋体" w:eastAsia="宋体" w:hint="default"/>
          <w:i/>
          <w:spacing w:val="-45"/>
          <w:position w:val="-4"/>
          <w:sz w:val="18"/>
          <w:szCs w:val="18"/>
        </w:rPr>
        <w:t> </w:t>
      </w:r>
      <w:r>
        <w:rPr>
          <w:rFonts w:ascii="Symbol" w:hAnsi="Symbol" w:cs="Symbol" w:eastAsia="Symbol" w:hint="default"/>
          <w:spacing w:val="7"/>
          <w:position w:val="-4"/>
          <w:sz w:val="17"/>
          <w:szCs w:val="17"/>
        </w:rPr>
        <w:t></w:t>
      </w:r>
      <w:r>
        <w:rPr>
          <w:rFonts w:ascii="宋体" w:hAnsi="宋体" w:cs="宋体" w:eastAsia="宋体" w:hint="default"/>
          <w:spacing w:val="7"/>
          <w:position w:val="-4"/>
          <w:sz w:val="17"/>
          <w:szCs w:val="17"/>
        </w:rPr>
        <w:t>1</w:t>
      </w:r>
      <w:r>
        <w:rPr>
          <w:rFonts w:ascii="宋体" w:hAnsi="宋体" w:cs="宋体" w:eastAsia="宋体" w:hint="default"/>
          <w:spacing w:val="-28"/>
          <w:position w:val="-4"/>
          <w:sz w:val="17"/>
          <w:szCs w:val="17"/>
        </w:rPr>
        <w:t> </w:t>
      </w:r>
      <w:r>
        <w:rPr>
          <w:rFonts w:ascii="宋体" w:hAnsi="宋体" w:cs="宋体" w:eastAsia="宋体" w:hint="default"/>
          <w:spacing w:val="-8"/>
          <w:sz w:val="24"/>
          <w:szCs w:val="24"/>
        </w:rPr>
        <w:t>(1</w:t>
      </w:r>
      <w:r>
        <w:rPr>
          <w:rFonts w:ascii="宋体" w:hAnsi="宋体" w:cs="宋体" w:eastAsia="宋体" w:hint="default"/>
          <w:spacing w:val="-34"/>
          <w:sz w:val="24"/>
          <w:szCs w:val="24"/>
        </w:rPr>
        <w:t> </w:t>
      </w:r>
      <w:r>
        <w:rPr>
          <w:rFonts w:ascii="Symbol" w:hAnsi="Symbol" w:cs="Symbol" w:eastAsia="Symbol" w:hint="default"/>
          <w:sz w:val="24"/>
          <w:szCs w:val="24"/>
        </w:rPr>
        <w:t></w:t>
      </w:r>
      <w:r>
        <w:rPr>
          <w:rFonts w:ascii="Symbol" w:hAnsi="Symbol" w:cs="Symbol" w:eastAsia="Symbol" w:hint="default"/>
          <w:spacing w:val="43"/>
          <w:sz w:val="24"/>
          <w:szCs w:val="24"/>
        </w:rPr>
        <w:t></w:t>
      </w:r>
      <w:r>
        <w:rPr>
          <w:rFonts w:ascii="Times New Roman" w:hAnsi="Times New Roman" w:cs="Times New Roman" w:eastAsia="Times New Roman" w:hint="default"/>
          <w:spacing w:val="43"/>
          <w:sz w:val="24"/>
          <w:szCs w:val="24"/>
        </w:rPr>
      </w:r>
      <w:r>
        <w:rPr>
          <w:rFonts w:ascii="宋体" w:hAnsi="宋体" w:cs="宋体" w:eastAsia="宋体" w:hint="default"/>
          <w:i/>
          <w:sz w:val="25"/>
          <w:szCs w:val="25"/>
        </w:rPr>
        <w:t>r</w:t>
      </w:r>
      <w:r>
        <w:rPr>
          <w:rFonts w:ascii="宋体" w:hAnsi="宋体" w:cs="宋体" w:eastAsia="宋体" w:hint="default"/>
          <w:i/>
          <w:spacing w:val="-85"/>
          <w:sz w:val="25"/>
          <w:szCs w:val="25"/>
        </w:rPr>
        <w:t> </w:t>
      </w:r>
      <w:r>
        <w:rPr>
          <w:rFonts w:ascii="宋体" w:hAnsi="宋体" w:cs="宋体" w:eastAsia="宋体" w:hint="default"/>
          <w:sz w:val="24"/>
          <w:szCs w:val="24"/>
        </w:rPr>
        <w:t>)</w:t>
      </w:r>
    </w:p>
    <w:p>
      <w:pPr>
        <w:spacing w:line="273" w:lineRule="exact" w:before="0"/>
        <w:ind w:left="414" w:right="0" w:firstLine="0"/>
        <w:jc w:val="left"/>
        <w:rPr>
          <w:rFonts w:ascii="宋体" w:hAnsi="宋体" w:cs="宋体" w:eastAsia="宋体" w:hint="default"/>
          <w:sz w:val="24"/>
          <w:szCs w:val="24"/>
        </w:rPr>
      </w:pPr>
      <w:r>
        <w:rPr>
          <w:spacing w:val="-7"/>
        </w:rPr>
        <w:br w:type="column"/>
      </w:r>
      <w:r>
        <w:rPr>
          <w:rFonts w:ascii="宋体" w:hAnsi="宋体" w:cs="宋体" w:eastAsia="宋体" w:hint="default"/>
          <w:spacing w:val="-7"/>
          <w:sz w:val="24"/>
          <w:szCs w:val="24"/>
        </w:rPr>
        <w:t>(1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i/>
          <w:sz w:val="25"/>
          <w:szCs w:val="25"/>
        </w:rPr>
        <w:t>r</w:t>
      </w:r>
      <w:r>
        <w:rPr>
          <w:rFonts w:ascii="宋体" w:hAnsi="宋体" w:cs="宋体" w:eastAsia="宋体" w:hint="default"/>
          <w:i/>
          <w:spacing w:val="-66"/>
          <w:sz w:val="25"/>
          <w:szCs w:val="25"/>
        </w:rPr>
        <w:t> </w:t>
      </w:r>
      <w:r>
        <w:rPr>
          <w:rFonts w:ascii="宋体" w:hAnsi="宋体" w:cs="宋体" w:eastAsia="宋体" w:hint="default"/>
          <w:sz w:val="24"/>
          <w:szCs w:val="24"/>
        </w:rPr>
        <w:t>)</w:t>
      </w:r>
    </w:p>
    <w:p>
      <w:pPr>
        <w:spacing w:after="0" w:line="273" w:lineRule="exact"/>
        <w:jc w:val="left"/>
        <w:rPr>
          <w:rFonts w:ascii="宋体" w:hAnsi="宋体" w:cs="宋体" w:eastAsia="宋体" w:hint="default"/>
          <w:sz w:val="24"/>
          <w:szCs w:val="24"/>
        </w:rPr>
        <w:sectPr>
          <w:type w:val="continuous"/>
          <w:pgSz w:w="11910" w:h="16840"/>
          <w:pgMar w:top="1580" w:bottom="280" w:left="1320" w:right="1100"/>
          <w:cols w:num="2" w:equalWidth="0">
            <w:col w:w="2419" w:space="40"/>
            <w:col w:w="7031"/>
          </w:cols>
        </w:sectPr>
      </w:pPr>
    </w:p>
    <w:p>
      <w:pPr>
        <w:pStyle w:val="BodyText"/>
        <w:spacing w:line="240" w:lineRule="auto" w:before="56"/>
        <w:ind w:right="0"/>
        <w:jc w:val="left"/>
      </w:pPr>
      <w:r>
        <w:rPr>
          <w:spacing w:val="-4"/>
        </w:rPr>
        <w:t>式中：Ri：评估基准日后第 </w:t>
      </w:r>
      <w:r>
        <w:rPr/>
        <w:t>i</w:t>
      </w:r>
      <w:r>
        <w:rPr>
          <w:spacing w:val="-27"/>
        </w:rPr>
        <w:t> </w:t>
      </w:r>
      <w:r>
        <w:rPr>
          <w:spacing w:val="-5"/>
        </w:rPr>
        <w:t>年预期的税前自由现金流量；r：折现率；Pn：终值；n：预测期。</w:t>
      </w:r>
    </w:p>
    <w:p>
      <w:pPr>
        <w:pStyle w:val="BodyText"/>
        <w:spacing w:line="240" w:lineRule="auto" w:before="37"/>
        <w:ind w:right="0"/>
        <w:jc w:val="left"/>
      </w:pPr>
      <w:r>
        <w:rPr/>
        <w:t>③参数确定如下：</w:t>
      </w:r>
    </w:p>
    <w:p>
      <w:pPr>
        <w:pStyle w:val="BodyText"/>
        <w:spacing w:line="273" w:lineRule="auto" w:before="37"/>
        <w:ind w:right="4699"/>
        <w:jc w:val="left"/>
      </w:pPr>
      <w:r>
        <w:rPr/>
        <w:t>第</w:t>
      </w:r>
      <w:r>
        <w:rPr>
          <w:spacing w:val="-53"/>
        </w:rPr>
        <w:t> </w:t>
      </w:r>
      <w:r>
        <w:rPr/>
        <w:t>i</w:t>
      </w:r>
      <w:r>
        <w:rPr>
          <w:spacing w:val="-53"/>
        </w:rPr>
        <w:t> </w:t>
      </w:r>
      <w:r>
        <w:rPr/>
        <w:t>年的自由现金流</w:t>
      </w:r>
      <w:r>
        <w:rPr>
          <w:spacing w:val="-53"/>
        </w:rPr>
        <w:t> </w:t>
      </w:r>
      <w:r>
        <w:rPr/>
        <w:t>Ri</w:t>
      </w:r>
      <w:r>
        <w:rPr>
          <w:spacing w:val="-55"/>
        </w:rPr>
        <w:t> </w:t>
      </w:r>
      <w:r>
        <w:rPr/>
        <w:t>的确定</w:t>
      </w:r>
      <w:r>
        <w:rPr>
          <w:w w:val="100"/>
        </w:rPr>
        <w:t> </w:t>
      </w:r>
      <w:r>
        <w:rPr/>
        <w:t>Ri＝EBITDAi－营运资金增加</w:t>
      </w:r>
      <w:r>
        <w:rPr>
          <w:spacing w:val="-56"/>
        </w:rPr>
        <w:t> </w:t>
      </w:r>
      <w:r>
        <w:rPr/>
        <w:t>i－资本性支出</w:t>
      </w:r>
      <w:r>
        <w:rPr>
          <w:spacing w:val="-56"/>
        </w:rPr>
        <w:t> </w:t>
      </w:r>
      <w:r>
        <w:rPr/>
        <w:t>i</w:t>
      </w:r>
    </w:p>
    <w:p>
      <w:pPr>
        <w:pStyle w:val="BodyText"/>
        <w:spacing w:line="240" w:lineRule="auto"/>
        <w:ind w:right="0"/>
        <w:jc w:val="left"/>
      </w:pPr>
      <w:r>
        <w:rPr/>
        <w:t>折现率</w:t>
      </w:r>
      <w:r>
        <w:rPr>
          <w:spacing w:val="-58"/>
        </w:rPr>
        <w:t> </w:t>
      </w:r>
      <w:r>
        <w:rPr/>
        <w:t>r</w:t>
      </w:r>
      <w:r>
        <w:rPr>
          <w:spacing w:val="-58"/>
        </w:rPr>
        <w:t> </w:t>
      </w:r>
      <w:r>
        <w:rPr/>
        <w:t>采用（所得）税前加权平均资本成本（WACC）确定，公式如下：</w:t>
      </w:r>
    </w:p>
    <w:p>
      <w:pPr>
        <w:spacing w:line="240" w:lineRule="auto" w:before="9"/>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580" w:bottom="280" w:left="1320" w:right="1100"/>
        </w:sectPr>
      </w:pPr>
    </w:p>
    <w:p>
      <w:pPr>
        <w:spacing w:line="267" w:lineRule="exact" w:before="189"/>
        <w:ind w:left="624" w:right="-2" w:firstLine="0"/>
        <w:jc w:val="left"/>
        <w:rPr>
          <w:rFonts w:ascii="宋体" w:hAnsi="宋体" w:cs="宋体" w:eastAsia="宋体" w:hint="default"/>
          <w:sz w:val="26"/>
          <w:szCs w:val="26"/>
        </w:rPr>
      </w:pPr>
      <w:r>
        <w:rPr>
          <w:rFonts w:ascii="宋体"/>
          <w:spacing w:val="-1"/>
          <w:sz w:val="26"/>
        </w:rPr>
        <w:t>WACCBT</w:t>
      </w:r>
    </w:p>
    <w:p>
      <w:pPr>
        <w:tabs>
          <w:tab w:pos="720" w:val="left" w:leader="none"/>
        </w:tabs>
        <w:spacing w:line="433" w:lineRule="exact" w:before="23"/>
        <w:ind w:left="310" w:right="0" w:firstLine="0"/>
        <w:jc w:val="left"/>
        <w:rPr>
          <w:rFonts w:ascii="宋体" w:hAnsi="宋体" w:cs="宋体" w:eastAsia="宋体" w:hint="default"/>
          <w:sz w:val="26"/>
          <w:szCs w:val="26"/>
        </w:rPr>
      </w:pPr>
      <w:r>
        <w:rPr/>
        <w:br w:type="column"/>
      </w:r>
      <w:r>
        <w:rPr>
          <w:rFonts w:ascii="Symbol" w:hAnsi="Symbol" w:cs="Symbol" w:eastAsia="Symbol" w:hint="default"/>
          <w:position w:val="-16"/>
          <w:sz w:val="26"/>
          <w:szCs w:val="26"/>
        </w:rPr>
        <w:t></w:t>
      </w:r>
      <w:r>
        <w:rPr>
          <w:rFonts w:ascii="Times New Roman" w:hAnsi="Times New Roman" w:cs="Times New Roman" w:eastAsia="Times New Roman" w:hint="default"/>
          <w:position w:val="-16"/>
          <w:sz w:val="26"/>
          <w:szCs w:val="26"/>
        </w:rPr>
        <w:tab/>
      </w:r>
      <w:r>
        <w:rPr>
          <w:rFonts w:ascii="宋体" w:hAnsi="宋体" w:cs="宋体" w:eastAsia="宋体" w:hint="default"/>
          <w:sz w:val="26"/>
          <w:szCs w:val="26"/>
        </w:rPr>
        <w:t>WACC</w:t>
      </w:r>
    </w:p>
    <w:p>
      <w:pPr>
        <w:spacing w:after="0" w:line="433" w:lineRule="exact"/>
        <w:jc w:val="left"/>
        <w:rPr>
          <w:rFonts w:ascii="宋体" w:hAnsi="宋体" w:cs="宋体" w:eastAsia="宋体" w:hint="default"/>
          <w:sz w:val="26"/>
          <w:szCs w:val="26"/>
        </w:rPr>
        <w:sectPr>
          <w:type w:val="continuous"/>
          <w:pgSz w:w="11910" w:h="16840"/>
          <w:pgMar w:top="1580" w:bottom="280" w:left="1320" w:right="1100"/>
          <w:cols w:num="2" w:equalWidth="0">
            <w:col w:w="1417" w:space="40"/>
            <w:col w:w="8033"/>
          </w:cols>
        </w:sectPr>
      </w:pPr>
    </w:p>
    <w:p>
      <w:pPr>
        <w:spacing w:line="297" w:lineRule="exact" w:before="0"/>
        <w:ind w:left="2102" w:right="0" w:firstLine="0"/>
        <w:jc w:val="left"/>
        <w:rPr>
          <w:rFonts w:ascii="宋体" w:hAnsi="宋体" w:cs="宋体" w:eastAsia="宋体" w:hint="default"/>
          <w:sz w:val="28"/>
          <w:szCs w:val="28"/>
        </w:rPr>
      </w:pPr>
      <w:r>
        <w:rPr/>
        <w:pict>
          <v:group style="position:absolute;margin-left:171.59256pt;margin-top:-1.524652pt;width:38.950pt;height:.1pt;mso-position-horizontal-relative:page;mso-position-vertical-relative:paragraph;z-index:-858472" coordorigin="3432,-30" coordsize="779,2">
            <v:shape style="position:absolute;left:3432;top:-30;width:779;height:2" coordorigin="3432,-30" coordsize="779,0" path="m3432,-30l4210,-30e" filled="false" stroked="true" strokeweight=".61632pt" strokecolor="#000000">
              <v:path arrowok="t"/>
            </v:shape>
            <w10:wrap type="none"/>
          </v:group>
        </w:pict>
      </w:r>
      <w:r>
        <w:rPr>
          <w:rFonts w:ascii="宋体" w:hAnsi="宋体" w:cs="宋体" w:eastAsia="宋体" w:hint="default"/>
          <w:sz w:val="26"/>
          <w:szCs w:val="26"/>
        </w:rPr>
        <w:t>1 </w:t>
      </w:r>
      <w:r>
        <w:rPr>
          <w:rFonts w:ascii="Symbol" w:hAnsi="Symbol" w:cs="Symbol" w:eastAsia="Symbol" w:hint="default"/>
          <w:sz w:val="26"/>
          <w:szCs w:val="26"/>
        </w:rPr>
        <w:t></w:t>
      </w:r>
      <w:r>
        <w:rPr>
          <w:rFonts w:ascii="Symbol" w:hAnsi="Symbol" w:cs="Symbol" w:eastAsia="Symbol" w:hint="default"/>
          <w:spacing w:val="64"/>
          <w:sz w:val="26"/>
          <w:szCs w:val="26"/>
        </w:rPr>
        <w:t></w:t>
      </w:r>
      <w:r>
        <w:rPr>
          <w:rFonts w:ascii="Times New Roman" w:hAnsi="Times New Roman" w:cs="Times New Roman" w:eastAsia="Times New Roman" w:hint="default"/>
          <w:spacing w:val="64"/>
          <w:sz w:val="26"/>
          <w:szCs w:val="26"/>
        </w:rPr>
      </w:r>
      <w:r>
        <w:rPr>
          <w:rFonts w:ascii="宋体" w:hAnsi="宋体" w:cs="宋体" w:eastAsia="宋体" w:hint="default"/>
          <w:i/>
          <w:sz w:val="28"/>
          <w:szCs w:val="28"/>
        </w:rPr>
        <w:t>T</w:t>
      </w:r>
      <w:r>
        <w:rPr>
          <w:rFonts w:ascii="宋体" w:hAnsi="宋体" w:cs="宋体" w:eastAsia="宋体" w:hint="default"/>
          <w:sz w:val="28"/>
          <w:szCs w:val="28"/>
        </w:rPr>
      </w:r>
    </w:p>
    <w:p>
      <w:pPr>
        <w:spacing w:after="0" w:line="297" w:lineRule="exact"/>
        <w:jc w:val="left"/>
        <w:rPr>
          <w:rFonts w:ascii="宋体" w:hAnsi="宋体" w:cs="宋体" w:eastAsia="宋体" w:hint="default"/>
          <w:sz w:val="28"/>
          <w:szCs w:val="28"/>
        </w:rPr>
        <w:sectPr>
          <w:type w:val="continuous"/>
          <w:pgSz w:w="11910" w:h="16840"/>
          <w:pgMar w:top="1580" w:bottom="280" w:left="1320" w:right="1100"/>
        </w:sectPr>
      </w:pPr>
    </w:p>
    <w:p>
      <w:pPr>
        <w:spacing w:line="240" w:lineRule="auto" w:before="6"/>
        <w:rPr>
          <w:rFonts w:ascii="宋体" w:hAnsi="宋体" w:cs="宋体" w:eastAsia="宋体" w:hint="default"/>
          <w:i/>
          <w:sz w:val="20"/>
          <w:szCs w:val="20"/>
        </w:rPr>
      </w:pPr>
    </w:p>
    <w:p>
      <w:pPr>
        <w:spacing w:line="180" w:lineRule="exact" w:before="0"/>
        <w:ind w:left="588" w:right="-18" w:firstLine="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i/>
          <w:w w:val="105"/>
          <w:sz w:val="23"/>
          <w:szCs w:val="23"/>
        </w:rPr>
        <w:t>WACC </w:t>
      </w:r>
      <w:r>
        <w:rPr>
          <w:rFonts w:ascii="Symbol" w:hAnsi="Symbol" w:cs="Symbol" w:eastAsia="Symbol" w:hint="default"/>
          <w:w w:val="105"/>
          <w:sz w:val="23"/>
          <w:szCs w:val="23"/>
        </w:rPr>
        <w:t></w:t>
      </w:r>
      <w:r>
        <w:rPr>
          <w:rFonts w:ascii="Symbol" w:hAnsi="Symbol" w:cs="Symbol" w:eastAsia="Symbol" w:hint="default"/>
          <w:spacing w:val="2"/>
          <w:w w:val="105"/>
          <w:sz w:val="23"/>
          <w:szCs w:val="23"/>
        </w:rPr>
        <w:t></w:t>
      </w:r>
      <w:r>
        <w:rPr>
          <w:rFonts w:ascii="Times New Roman" w:hAnsi="Times New Roman" w:cs="Times New Roman" w:eastAsia="Times New Roman" w:hint="default"/>
          <w:spacing w:val="2"/>
          <w:w w:val="105"/>
          <w:sz w:val="23"/>
          <w:szCs w:val="23"/>
        </w:rPr>
      </w:r>
      <w:r>
        <w:rPr>
          <w:rFonts w:ascii="Times New Roman" w:hAnsi="Times New Roman" w:cs="Times New Roman" w:eastAsia="Times New Roman" w:hint="default"/>
          <w:i/>
          <w:w w:val="105"/>
          <w:sz w:val="23"/>
          <w:szCs w:val="23"/>
        </w:rPr>
        <w:t>R</w:t>
      </w:r>
      <w:r>
        <w:rPr>
          <w:rFonts w:ascii="Times New Roman" w:hAnsi="Times New Roman" w:cs="Times New Roman" w:eastAsia="Times New Roman" w:hint="default"/>
          <w:sz w:val="23"/>
          <w:szCs w:val="23"/>
        </w:rPr>
      </w:r>
    </w:p>
    <w:p>
      <w:pPr>
        <w:tabs>
          <w:tab w:pos="733" w:val="left" w:leader="none"/>
        </w:tabs>
        <w:spacing w:line="313" w:lineRule="exact" w:before="134"/>
        <w:ind w:left="311" w:right="-19" w:firstLine="0"/>
        <w:jc w:val="left"/>
        <w:rPr>
          <w:rFonts w:ascii="Times New Roman" w:hAnsi="Times New Roman" w:cs="Times New Roman" w:eastAsia="Times New Roman" w:hint="default"/>
          <w:sz w:val="23"/>
          <w:szCs w:val="23"/>
        </w:rPr>
      </w:pPr>
      <w:r>
        <w:rPr/>
        <w:br w:type="column"/>
      </w:r>
      <w:r>
        <w:rPr>
          <w:rFonts w:ascii="Times New Roman" w:hAnsi="Times New Roman" w:cs="Times New Roman" w:eastAsia="Times New Roman" w:hint="default"/>
          <w:i/>
          <w:position w:val="15"/>
          <w:sz w:val="23"/>
          <w:szCs w:val="23"/>
        </w:rPr>
        <w:t>E</w:t>
        <w:tab/>
      </w:r>
      <w:r>
        <w:rPr>
          <w:rFonts w:ascii="Symbol" w:hAnsi="Symbol" w:cs="Symbol" w:eastAsia="Symbol" w:hint="default"/>
          <w:w w:val="105"/>
          <w:sz w:val="23"/>
          <w:szCs w:val="23"/>
        </w:rPr>
        <w:t></w:t>
      </w:r>
      <w:r>
        <w:rPr>
          <w:rFonts w:ascii="Symbol" w:hAnsi="Symbol" w:cs="Symbol" w:eastAsia="Symbol" w:hint="default"/>
          <w:spacing w:val="-9"/>
          <w:w w:val="105"/>
          <w:sz w:val="23"/>
          <w:szCs w:val="23"/>
        </w:rPr>
        <w:t></w:t>
      </w:r>
      <w:r>
        <w:rPr>
          <w:rFonts w:ascii="Times New Roman" w:hAnsi="Times New Roman" w:cs="Times New Roman" w:eastAsia="Times New Roman" w:hint="default"/>
          <w:spacing w:val="-9"/>
          <w:w w:val="105"/>
          <w:sz w:val="23"/>
          <w:szCs w:val="23"/>
        </w:rPr>
      </w:r>
      <w:r>
        <w:rPr>
          <w:rFonts w:ascii="Times New Roman" w:hAnsi="Times New Roman" w:cs="Times New Roman" w:eastAsia="Times New Roman" w:hint="default"/>
          <w:i/>
          <w:w w:val="105"/>
          <w:sz w:val="23"/>
          <w:szCs w:val="23"/>
        </w:rPr>
        <w:t>R</w:t>
      </w:r>
      <w:r>
        <w:rPr>
          <w:rFonts w:ascii="Times New Roman" w:hAnsi="Times New Roman" w:cs="Times New Roman" w:eastAsia="Times New Roman" w:hint="default"/>
          <w:sz w:val="23"/>
          <w:szCs w:val="23"/>
        </w:rPr>
      </w:r>
    </w:p>
    <w:p>
      <w:pPr>
        <w:tabs>
          <w:tab w:pos="740" w:val="left" w:leader="none"/>
        </w:tabs>
        <w:spacing w:line="313" w:lineRule="exact" w:before="134"/>
        <w:ind w:left="326" w:right="0" w:firstLine="0"/>
        <w:jc w:val="left"/>
        <w:rPr>
          <w:rFonts w:ascii="Times New Roman" w:hAnsi="Times New Roman" w:cs="Times New Roman" w:eastAsia="Times New Roman" w:hint="default"/>
          <w:sz w:val="23"/>
          <w:szCs w:val="23"/>
        </w:rPr>
      </w:pPr>
      <w:r>
        <w:rPr/>
        <w:br w:type="column"/>
      </w:r>
      <w:r>
        <w:rPr>
          <w:rFonts w:ascii="Times New Roman" w:hAnsi="Times New Roman" w:cs="Times New Roman" w:eastAsia="Times New Roman" w:hint="default"/>
          <w:i/>
          <w:position w:val="15"/>
          <w:sz w:val="23"/>
          <w:szCs w:val="23"/>
        </w:rPr>
        <w:t>D</w:t>
        <w:tab/>
      </w:r>
      <w:r>
        <w:rPr>
          <w:rFonts w:ascii="Times New Roman" w:hAnsi="Times New Roman" w:cs="Times New Roman" w:eastAsia="Times New Roman" w:hint="default"/>
          <w:spacing w:val="-10"/>
          <w:w w:val="105"/>
          <w:sz w:val="23"/>
          <w:szCs w:val="23"/>
        </w:rPr>
        <w:t>(1</w:t>
      </w:r>
      <w:r>
        <w:rPr>
          <w:rFonts w:ascii="Times New Roman" w:hAnsi="Times New Roman" w:cs="Times New Roman" w:eastAsia="Times New Roman" w:hint="default"/>
          <w:spacing w:val="-41"/>
          <w:w w:val="105"/>
          <w:sz w:val="23"/>
          <w:szCs w:val="23"/>
        </w:rPr>
        <w:t> </w:t>
      </w:r>
      <w:r>
        <w:rPr>
          <w:rFonts w:ascii="Symbol" w:hAnsi="Symbol" w:cs="Symbol" w:eastAsia="Symbol" w:hint="default"/>
          <w:w w:val="105"/>
          <w:sz w:val="23"/>
          <w:szCs w:val="23"/>
        </w:rPr>
        <w:t></w:t>
      </w:r>
      <w:r>
        <w:rPr>
          <w:rFonts w:ascii="Symbol" w:hAnsi="Symbol" w:cs="Symbol" w:eastAsia="Symbol" w:hint="default"/>
          <w:spacing w:val="-34"/>
          <w:w w:val="105"/>
          <w:sz w:val="23"/>
          <w:szCs w:val="23"/>
        </w:rPr>
        <w:t></w:t>
      </w:r>
      <w:r>
        <w:rPr>
          <w:rFonts w:ascii="Times New Roman" w:hAnsi="Times New Roman" w:cs="Times New Roman" w:eastAsia="Times New Roman" w:hint="default"/>
          <w:spacing w:val="-34"/>
          <w:w w:val="105"/>
          <w:sz w:val="23"/>
          <w:szCs w:val="23"/>
        </w:rPr>
      </w:r>
      <w:r>
        <w:rPr>
          <w:rFonts w:ascii="Times New Roman" w:hAnsi="Times New Roman" w:cs="Times New Roman" w:eastAsia="Times New Roman" w:hint="default"/>
          <w:i/>
          <w:w w:val="105"/>
          <w:sz w:val="23"/>
          <w:szCs w:val="23"/>
        </w:rPr>
        <w:t>T</w:t>
      </w:r>
      <w:r>
        <w:rPr>
          <w:rFonts w:ascii="Times New Roman" w:hAnsi="Times New Roman" w:cs="Times New Roman" w:eastAsia="Times New Roman" w:hint="default"/>
          <w:i/>
          <w:spacing w:val="-33"/>
          <w:w w:val="105"/>
          <w:sz w:val="23"/>
          <w:szCs w:val="23"/>
        </w:rPr>
        <w:t> </w:t>
      </w:r>
      <w:r>
        <w:rPr>
          <w:rFonts w:ascii="Times New Roman" w:hAnsi="Times New Roman" w:cs="Times New Roman" w:eastAsia="Times New Roman" w:hint="default"/>
          <w:w w:val="105"/>
          <w:sz w:val="23"/>
          <w:szCs w:val="23"/>
        </w:rPr>
        <w:t>)</w:t>
      </w:r>
      <w:r>
        <w:rPr>
          <w:rFonts w:ascii="Times New Roman" w:hAnsi="Times New Roman" w:cs="Times New Roman" w:eastAsia="Times New Roman" w:hint="default"/>
          <w:sz w:val="23"/>
          <w:szCs w:val="23"/>
        </w:rPr>
      </w:r>
    </w:p>
    <w:p>
      <w:pPr>
        <w:spacing w:after="0" w:line="313" w:lineRule="exact"/>
        <w:jc w:val="left"/>
        <w:rPr>
          <w:rFonts w:ascii="Times New Roman" w:hAnsi="Times New Roman" w:cs="Times New Roman" w:eastAsia="Times New Roman" w:hint="default"/>
          <w:sz w:val="23"/>
          <w:szCs w:val="23"/>
        </w:rPr>
        <w:sectPr>
          <w:type w:val="continuous"/>
          <w:pgSz w:w="11910" w:h="16840"/>
          <w:pgMar w:top="1580" w:bottom="280" w:left="1320" w:right="1100"/>
          <w:cols w:num="3" w:equalWidth="0">
            <w:col w:w="1665" w:space="40"/>
            <w:col w:w="1067" w:space="40"/>
            <w:col w:w="6678"/>
          </w:cols>
        </w:sectPr>
      </w:pPr>
    </w:p>
    <w:p>
      <w:pPr>
        <w:tabs>
          <w:tab w:pos="2772" w:val="left" w:leader="none"/>
        </w:tabs>
        <w:spacing w:line="287" w:lineRule="exact" w:before="0"/>
        <w:ind w:left="1663" w:right="0" w:firstLine="0"/>
        <w:jc w:val="left"/>
        <w:rPr>
          <w:rFonts w:ascii="Times New Roman" w:hAnsi="Times New Roman" w:cs="Times New Roman" w:eastAsia="Times New Roman" w:hint="default"/>
          <w:sz w:val="23"/>
          <w:szCs w:val="23"/>
        </w:rPr>
      </w:pPr>
      <w:r>
        <w:rPr/>
        <w:pict>
          <v:group style="position:absolute;margin-left:155.437561pt;margin-top:-.38783pt;width:29.95pt;height:.1pt;mso-position-horizontal-relative:page;mso-position-vertical-relative:paragraph;z-index:-858448" coordorigin="3109,-8" coordsize="599,2">
            <v:shape style="position:absolute;left:3109;top:-8;width:599;height:2" coordorigin="3109,-8" coordsize="599,0" path="m3109,-8l3708,-8e" filled="false" stroked="true" strokeweight=".49752pt" strokecolor="#000000">
              <v:path arrowok="t"/>
            </v:shape>
            <w10:wrap type="none"/>
          </v:group>
        </w:pict>
      </w:r>
      <w:r>
        <w:rPr/>
        <w:pict>
          <v:group style="position:absolute;margin-left:211.979996pt;margin-top:-.38783pt;width:29.95pt;height:.1pt;mso-position-horizontal-relative:page;mso-position-vertical-relative:paragraph;z-index:-858424" coordorigin="4240,-8" coordsize="599,2">
            <v:shape style="position:absolute;left:4240;top:-8;width:599;height:2" coordorigin="4240,-8" coordsize="599,0" path="m4240,-8l4839,-8e" filled="false" stroked="true" strokeweight=".49752pt" strokecolor="#000000">
              <v:path arrowok="t"/>
            </v:shape>
            <w10:wrap type="none"/>
          </v:group>
        </w:pict>
      </w:r>
      <w:r>
        <w:rPr>
          <w:rFonts w:ascii="Times New Roman" w:hAnsi="Times New Roman" w:cs="Times New Roman" w:eastAsia="Times New Roman" w:hint="default"/>
          <w:i/>
          <w:position w:val="12"/>
          <w:sz w:val="14"/>
          <w:szCs w:val="14"/>
        </w:rPr>
        <w:t>e   </w:t>
      </w:r>
      <w:r>
        <w:rPr>
          <w:rFonts w:ascii="Times New Roman" w:hAnsi="Times New Roman" w:cs="Times New Roman" w:eastAsia="Times New Roman" w:hint="default"/>
          <w:i/>
          <w:sz w:val="23"/>
          <w:szCs w:val="23"/>
        </w:rPr>
        <w:t>D </w:t>
      </w:r>
      <w:r>
        <w:rPr>
          <w:rFonts w:ascii="Symbol" w:hAnsi="Symbol" w:cs="Symbol" w:eastAsia="Symbol" w:hint="default"/>
          <w:sz w:val="23"/>
          <w:szCs w:val="23"/>
        </w:rPr>
        <w:t></w:t>
      </w:r>
      <w:r>
        <w:rPr>
          <w:rFonts w:ascii="Symbol" w:hAnsi="Symbol" w:cs="Symbol" w:eastAsia="Symbol" w:hint="default"/>
          <w:spacing w:val="-18"/>
          <w:sz w:val="23"/>
          <w:szCs w:val="23"/>
        </w:rPr>
        <w:t></w:t>
      </w:r>
      <w:r>
        <w:rPr>
          <w:rFonts w:ascii="Times New Roman" w:hAnsi="Times New Roman" w:cs="Times New Roman" w:eastAsia="Times New Roman" w:hint="default"/>
          <w:spacing w:val="-18"/>
          <w:sz w:val="23"/>
          <w:szCs w:val="23"/>
        </w:rPr>
      </w:r>
      <w:r>
        <w:rPr>
          <w:rFonts w:ascii="Times New Roman" w:hAnsi="Times New Roman" w:cs="Times New Roman" w:eastAsia="Times New Roman" w:hint="default"/>
          <w:i/>
          <w:sz w:val="23"/>
          <w:szCs w:val="23"/>
        </w:rPr>
        <w:t>E</w:t>
        <w:tab/>
      </w:r>
      <w:r>
        <w:rPr>
          <w:rFonts w:ascii="Times New Roman" w:hAnsi="Times New Roman" w:cs="Times New Roman" w:eastAsia="Times New Roman" w:hint="default"/>
          <w:i/>
          <w:position w:val="12"/>
          <w:sz w:val="14"/>
          <w:szCs w:val="14"/>
        </w:rPr>
        <w:t>d   </w:t>
      </w:r>
      <w:r>
        <w:rPr>
          <w:rFonts w:ascii="Times New Roman" w:hAnsi="Times New Roman" w:cs="Times New Roman" w:eastAsia="Times New Roman" w:hint="default"/>
          <w:i/>
          <w:sz w:val="23"/>
          <w:szCs w:val="23"/>
        </w:rPr>
        <w:t>D </w:t>
      </w:r>
      <w:r>
        <w:rPr>
          <w:rFonts w:ascii="Symbol" w:hAnsi="Symbol" w:cs="Symbol" w:eastAsia="Symbol" w:hint="default"/>
          <w:sz w:val="23"/>
          <w:szCs w:val="23"/>
        </w:rPr>
        <w:t></w:t>
      </w:r>
      <w:r>
        <w:rPr>
          <w:rFonts w:ascii="Symbol" w:hAnsi="Symbol" w:cs="Symbol" w:eastAsia="Symbol" w:hint="default"/>
          <w:spacing w:val="-4"/>
          <w:sz w:val="23"/>
          <w:szCs w:val="23"/>
        </w:rPr>
        <w:t></w:t>
      </w:r>
      <w:r>
        <w:rPr>
          <w:rFonts w:ascii="Times New Roman" w:hAnsi="Times New Roman" w:cs="Times New Roman" w:eastAsia="Times New Roman" w:hint="default"/>
          <w:spacing w:val="-4"/>
          <w:sz w:val="23"/>
          <w:szCs w:val="23"/>
        </w:rPr>
      </w:r>
      <w:r>
        <w:rPr>
          <w:rFonts w:ascii="Times New Roman" w:hAnsi="Times New Roman" w:cs="Times New Roman" w:eastAsia="Times New Roman" w:hint="default"/>
          <w:i/>
          <w:sz w:val="23"/>
          <w:szCs w:val="23"/>
        </w:rPr>
        <w:t>E</w:t>
      </w:r>
      <w:r>
        <w:rPr>
          <w:rFonts w:ascii="Times New Roman" w:hAnsi="Times New Roman" w:cs="Times New Roman" w:eastAsia="Times New Roman" w:hint="default"/>
          <w:sz w:val="23"/>
          <w:szCs w:val="23"/>
        </w:rPr>
      </w:r>
    </w:p>
    <w:p>
      <w:pPr>
        <w:pStyle w:val="BodyText"/>
        <w:spacing w:line="273" w:lineRule="auto" w:before="0"/>
        <w:ind w:right="2597"/>
        <w:jc w:val="left"/>
      </w:pPr>
      <w:r>
        <w:rPr/>
        <w:t>式中：</w:t>
      </w:r>
      <w:r>
        <w:rPr>
          <w:spacing w:val="-5"/>
        </w:rPr>
        <w:t> </w:t>
      </w:r>
      <w:r>
        <w:rPr/>
        <w:t>Re：权益资本成本；Rd：负息负债资本成本；T：所得税率。</w:t>
      </w:r>
      <w:r>
        <w:rPr>
          <w:w w:val="100"/>
        </w:rPr>
        <w:t> </w:t>
      </w:r>
      <w:r>
        <w:rPr/>
        <w:t>权益资本成本</w:t>
      </w:r>
      <w:r>
        <w:rPr>
          <w:spacing w:val="-54"/>
        </w:rPr>
        <w:t> </w:t>
      </w:r>
      <w:r>
        <w:rPr/>
        <w:t>Re</w:t>
      </w:r>
      <w:r>
        <w:rPr>
          <w:spacing w:val="-54"/>
        </w:rPr>
        <w:t> </w:t>
      </w:r>
      <w:r>
        <w:rPr/>
        <w:t>采用资本资产定价模型(CAPM)计算，公式如下：</w:t>
      </w:r>
      <w:r>
        <w:rPr>
          <w:w w:val="100"/>
        </w:rPr>
        <w:t> </w:t>
      </w:r>
      <w:r>
        <w:rPr/>
        <w:t>Re＝Rf＋β×ERP＋Rs</w:t>
      </w:r>
    </w:p>
    <w:p>
      <w:pPr>
        <w:pStyle w:val="BodyText"/>
        <w:spacing w:line="273" w:lineRule="auto"/>
        <w:ind w:left="153" w:right="307" w:firstLine="420"/>
        <w:jc w:val="left"/>
      </w:pPr>
      <w:r>
        <w:rPr/>
        <w:t>式中：Re</w:t>
      </w:r>
      <w:r>
        <w:rPr>
          <w:spacing w:val="-32"/>
        </w:rPr>
        <w:t> </w:t>
      </w:r>
      <w:r>
        <w:rPr/>
        <w:t>为股权回报率；Rf</w:t>
      </w:r>
      <w:r>
        <w:rPr>
          <w:spacing w:val="-32"/>
        </w:rPr>
        <w:t> </w:t>
      </w:r>
      <w:r>
        <w:rPr/>
        <w:t>为无风险回报率；β</w:t>
      </w:r>
      <w:r>
        <w:rPr>
          <w:spacing w:val="-34"/>
        </w:rPr>
        <w:t> </w:t>
      </w:r>
      <w:r>
        <w:rPr/>
        <w:t>为风险系数；ERP</w:t>
      </w:r>
      <w:r>
        <w:rPr>
          <w:spacing w:val="-32"/>
        </w:rPr>
        <w:t> </w:t>
      </w:r>
      <w:r>
        <w:rPr/>
        <w:t>为市场风险超额回报率；</w:t>
      </w:r>
      <w:r>
        <w:rPr>
          <w:w w:val="100"/>
        </w:rPr>
        <w:t> </w:t>
      </w:r>
      <w:r>
        <w:rPr/>
        <w:t>Rs</w:t>
      </w:r>
      <w:r>
        <w:rPr>
          <w:spacing w:val="-56"/>
        </w:rPr>
        <w:t> </w:t>
      </w:r>
      <w:r>
        <w:rPr/>
        <w:t>为公司特有风险超额回报率</w:t>
      </w:r>
    </w:p>
    <w:p>
      <w:pPr>
        <w:pStyle w:val="BodyText"/>
        <w:spacing w:line="240" w:lineRule="auto"/>
        <w:ind w:right="0"/>
        <w:jc w:val="left"/>
      </w:pPr>
      <w:r>
        <w:rPr/>
        <w:t>终值</w:t>
      </w:r>
      <w:r>
        <w:rPr>
          <w:spacing w:val="-53"/>
        </w:rPr>
        <w:t> </w:t>
      </w:r>
      <w:r>
        <w:rPr/>
        <w:t>Pn</w:t>
      </w:r>
      <w:r>
        <w:rPr>
          <w:spacing w:val="-53"/>
        </w:rPr>
        <w:t> </w:t>
      </w:r>
      <w:r>
        <w:rPr/>
        <w:t>的确定</w:t>
      </w:r>
    </w:p>
    <w:p>
      <w:pPr>
        <w:pStyle w:val="BodyText"/>
        <w:spacing w:line="273" w:lineRule="auto" w:before="37"/>
        <w:ind w:left="153" w:right="0" w:firstLine="420"/>
        <w:jc w:val="left"/>
      </w:pPr>
      <w:r>
        <w:rPr>
          <w:spacing w:val="-2"/>
        </w:rPr>
        <w:t>根据《资产评估准则--企业价值》的相关规定，评估人员应当根据企业进入稳定期的因素分析</w:t>
      </w:r>
      <w:r>
        <w:rPr>
          <w:w w:val="100"/>
        </w:rPr>
        <w:t> </w:t>
      </w:r>
      <w:r>
        <w:rPr/>
        <w:t>预测期后的收益趋势、终止经营后的处置方式等，选择恰当的方法估算预测期后的价值。</w:t>
      </w:r>
    </w:p>
    <w:p>
      <w:pPr>
        <w:pStyle w:val="BodyText"/>
        <w:spacing w:line="355" w:lineRule="auto"/>
        <w:ind w:left="575" w:right="398" w:hanging="3"/>
        <w:jc w:val="left"/>
        <w:rPr>
          <w:rFonts w:ascii="宋体" w:hAnsi="宋体" w:cs="宋体" w:eastAsia="宋体" w:hint="default"/>
        </w:rPr>
      </w:pPr>
      <w:r>
        <w:rPr/>
        <w:pict>
          <v:shape style="position:absolute;margin-left:72pt;margin-top:36.855843pt;width:462.85pt;height:53.0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558"/>
                    <w:gridCol w:w="1560"/>
                    <w:gridCol w:w="1702"/>
                    <w:gridCol w:w="1560"/>
                    <w:gridCol w:w="1558"/>
                  </w:tblGrid>
                  <w:tr>
                    <w:trPr>
                      <w:trHeight w:val="3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2"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2" w:right="0"/>
                          <w:jc w:val="left"/>
                          <w:rPr>
                            <w:rFonts w:ascii="宋体" w:hAnsi="宋体" w:cs="宋体" w:eastAsia="宋体" w:hint="default"/>
                            <w:sz w:val="18"/>
                            <w:szCs w:val="18"/>
                          </w:rPr>
                        </w:pPr>
                        <w:r>
                          <w:rPr>
                            <w:rFonts w:ascii="宋体" w:hAnsi="宋体" w:cs="宋体" w:eastAsia="宋体" w:hint="default"/>
                            <w:b/>
                            <w:bCs/>
                            <w:sz w:val="18"/>
                            <w:szCs w:val="18"/>
                          </w:rPr>
                          <w:t>其他减少金额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3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sz w:val="18"/>
                          </w:rPr>
                          <w:t>1,612,085.63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717,871.38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894,214.25</w:t>
                        </w:r>
                      </w:p>
                    </w:tc>
                  </w:tr>
                  <w:tr>
                    <w:trPr>
                      <w:trHeight w:val="3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sz w:val="18"/>
                          </w:rPr>
                          <w:t>1,612,085.63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717,871.38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894,214.25</w:t>
                        </w:r>
                      </w:p>
                    </w:tc>
                  </w:tr>
                </w:tbl>
                <w:p>
                  <w:pPr/>
                </w:p>
              </w:txbxContent>
            </v:textbox>
            <w10:wrap type="none"/>
          </v:shape>
        </w:pict>
      </w:r>
      <w:r>
        <w:rPr>
          <w:spacing w:val="-4"/>
          <w:w w:val="100"/>
        </w:rPr>
        <w:t>企业终值一般可采用永续增长模型（固定增长模型）、价格收益比例法、账面价值法等确定。</w:t>
      </w:r>
      <w:r>
        <w:rPr>
          <w:spacing w:val="-102"/>
          <w:w w:val="100"/>
        </w:rPr>
        <w:t> </w:t>
      </w:r>
      <w:r>
        <w:rPr>
          <w:spacing w:val="-102"/>
          <w:w w:val="100"/>
        </w:rPr>
      </w:r>
      <w:r>
        <w:rPr>
          <w:rFonts w:ascii="宋体" w:hAnsi="宋体" w:cs="宋体" w:eastAsia="宋体" w:hint="default"/>
          <w:b/>
          <w:bCs/>
        </w:rPr>
        <w:t>13、长期待摊费用</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14、递延所得税资产、递延所得税负债</w:t>
      </w:r>
      <w:r>
        <w:rPr>
          <w:rFonts w:ascii="宋体" w:hAnsi="宋体" w:cs="宋体" w:eastAsia="宋体" w:hint="default"/>
          <w:sz w:val="21"/>
          <w:szCs w:val="21"/>
        </w:rPr>
      </w:r>
    </w:p>
    <w:p>
      <w:pPr>
        <w:pStyle w:val="BodyText"/>
        <w:spacing w:line="240" w:lineRule="auto" w:before="20"/>
        <w:ind w:right="0"/>
        <w:jc w:val="left"/>
      </w:pPr>
      <w:r>
        <w:rPr/>
        <w:t>（1）未经抵销的递延所得税资产明细</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071"/>
        <w:gridCol w:w="1932"/>
        <w:gridCol w:w="1565"/>
        <w:gridCol w:w="1846"/>
        <w:gridCol w:w="1826"/>
      </w:tblGrid>
      <w:tr>
        <w:trPr>
          <w:trHeight w:val="350" w:hRule="exact"/>
        </w:trPr>
        <w:tc>
          <w:tcPr>
            <w:tcW w:w="207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2071"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350"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59,689,161.65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8,953,481.53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43,408,371.85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6,511,352.84</w:t>
            </w:r>
          </w:p>
        </w:tc>
      </w:tr>
      <w:tr>
        <w:trPr>
          <w:trHeight w:val="350"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59,689,161.65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8,953,481.53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43,408,371.85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6,511,352.84</w:t>
            </w:r>
          </w:p>
        </w:tc>
      </w:tr>
    </w:tbl>
    <w:p>
      <w:pPr>
        <w:pStyle w:val="BodyText"/>
        <w:spacing w:line="240" w:lineRule="auto" w:before="50"/>
        <w:ind w:right="0"/>
        <w:jc w:val="left"/>
      </w:pPr>
      <w:r>
        <w:rPr/>
        <w:t>（2）未经抵销的递延所得税负债明细</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155"/>
        <w:gridCol w:w="3502"/>
        <w:gridCol w:w="3586"/>
      </w:tblGrid>
      <w:tr>
        <w:trPr>
          <w:trHeight w:val="350"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580" w:bottom="280" w:left="1320" w:right="1100"/>
        </w:sectPr>
      </w:pPr>
    </w:p>
    <w:p>
      <w:pPr>
        <w:spacing w:line="240" w:lineRule="auto" w:before="0"/>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155"/>
        <w:gridCol w:w="1925"/>
        <w:gridCol w:w="1577"/>
        <w:gridCol w:w="1824"/>
        <w:gridCol w:w="1762"/>
      </w:tblGrid>
      <w:tr>
        <w:trPr>
          <w:trHeight w:val="350" w:hRule="exact"/>
        </w:trPr>
        <w:tc>
          <w:tcPr>
            <w:tcW w:w="215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5"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0"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478"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非同一控制下企业合并资</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15,878,419.83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2,381,762.97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18,694,668.93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z w:val="18"/>
              </w:rPr>
              <w:t>2,804,200.34</w:t>
            </w:r>
          </w:p>
        </w:tc>
      </w:tr>
      <w:tr>
        <w:trPr>
          <w:trHeight w:val="350" w:hRule="exact"/>
        </w:trPr>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15,878,419.83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2,381,762.97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18,694,668.93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2,804,200.34</w:t>
            </w:r>
          </w:p>
        </w:tc>
      </w:tr>
    </w:tbl>
    <w:p>
      <w:pPr>
        <w:spacing w:line="240" w:lineRule="auto" w:before="2"/>
        <w:rPr>
          <w:rFonts w:ascii="宋体" w:hAnsi="宋体" w:cs="宋体" w:eastAsia="宋体" w:hint="default"/>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15、短期借款</w:t>
      </w:r>
      <w:r>
        <w:rPr>
          <w:rFonts w:ascii="宋体" w:hAnsi="宋体" w:cs="宋体" w:eastAsia="宋体" w:hint="default"/>
          <w:sz w:val="21"/>
          <w:szCs w:val="21"/>
        </w:rPr>
      </w:r>
    </w:p>
    <w:p>
      <w:pPr>
        <w:pStyle w:val="BodyText"/>
        <w:spacing w:line="240" w:lineRule="auto" w:before="22"/>
        <w:ind w:right="0"/>
        <w:jc w:val="left"/>
      </w:pPr>
      <w:r>
        <w:rPr/>
        <w:t>（1）短期借款分类</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432"/>
        <w:gridCol w:w="2834"/>
        <w:gridCol w:w="2976"/>
      </w:tblGrid>
      <w:tr>
        <w:trPr>
          <w:trHeight w:val="350"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质押加保证借款</w:t>
            </w:r>
          </w:p>
        </w:tc>
        <w:tc>
          <w:tcPr>
            <w:tcW w:w="283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20,000,000.00</w:t>
            </w:r>
          </w:p>
        </w:tc>
      </w:tr>
      <w:tr>
        <w:trPr>
          <w:trHeight w:val="350"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3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20,000,000.00</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3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29"/>
              <w:jc w:val="righ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20,000,000.00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20,000,000.00</w:t>
            </w:r>
          </w:p>
        </w:tc>
      </w:tr>
    </w:tbl>
    <w:p>
      <w:pPr>
        <w:pStyle w:val="BodyText"/>
        <w:spacing w:line="273" w:lineRule="auto" w:before="50"/>
        <w:ind w:left="153" w:right="310" w:firstLine="420"/>
        <w:jc w:val="both"/>
      </w:pPr>
      <w:r>
        <w:rPr/>
        <w:t>注：2017</w:t>
      </w:r>
      <w:r>
        <w:rPr>
          <w:spacing w:val="-31"/>
        </w:rPr>
        <w:t> </w:t>
      </w:r>
      <w:r>
        <w:rPr/>
        <w:t>年</w:t>
      </w:r>
      <w:r>
        <w:rPr>
          <w:spacing w:val="-31"/>
        </w:rPr>
        <w:t> </w:t>
      </w:r>
      <w:r>
        <w:rPr/>
        <w:t>3</w:t>
      </w:r>
      <w:r>
        <w:rPr>
          <w:spacing w:val="-33"/>
        </w:rPr>
        <w:t> </w:t>
      </w:r>
      <w:r>
        <w:rPr/>
        <w:t>月，本公司与招商银行股份有限公司广州分行科技园支行签订编号为</w:t>
      </w:r>
      <w:r>
        <w:rPr>
          <w:spacing w:val="-33"/>
        </w:rPr>
        <w:t> </w:t>
      </w:r>
      <w:r>
        <w:rPr/>
        <w:t>20170206</w:t>
      </w:r>
      <w:r>
        <w:rPr>
          <w:w w:val="100"/>
        </w:rPr>
        <w:t> </w:t>
      </w:r>
      <w:r>
        <w:rPr>
          <w:spacing w:val="-2"/>
          <w:w w:val="100"/>
        </w:rPr>
        <w:t>号《授信协议》，授信额度伍仟万元，由茂业通信网络股份有限公司作为连带责任保证人，茂业通</w:t>
      </w:r>
      <w:r>
        <w:rPr>
          <w:spacing w:val="-93"/>
          <w:w w:val="100"/>
        </w:rPr>
        <w:t> </w:t>
      </w:r>
      <w:r>
        <w:rPr>
          <w:spacing w:val="-93"/>
          <w:w w:val="100"/>
        </w:rPr>
      </w:r>
      <w:r>
        <w:rPr>
          <w:spacing w:val="-2"/>
          <w:w w:val="100"/>
        </w:rPr>
        <w:t>信出具了编号为</w:t>
      </w:r>
      <w:r>
        <w:rPr>
          <w:spacing w:val="-51"/>
          <w:w w:val="100"/>
        </w:rPr>
        <w:t> </w:t>
      </w:r>
      <w:r>
        <w:rPr>
          <w:spacing w:val="-1"/>
          <w:w w:val="100"/>
        </w:rPr>
        <w:t>20170206</w:t>
      </w:r>
      <w:r>
        <w:rPr>
          <w:spacing w:val="-53"/>
          <w:w w:val="100"/>
        </w:rPr>
        <w:t> </w:t>
      </w:r>
      <w:r>
        <w:rPr>
          <w:spacing w:val="-10"/>
          <w:w w:val="100"/>
        </w:rPr>
        <w:t>的《最高额不可撤销担保书》。2017</w:t>
      </w:r>
      <w:r>
        <w:rPr>
          <w:spacing w:val="-51"/>
          <w:w w:val="100"/>
        </w:rPr>
        <w:t> </w:t>
      </w:r>
      <w:r>
        <w:rPr>
          <w:w w:val="100"/>
        </w:rPr>
        <w:t>年</w:t>
      </w:r>
      <w:r>
        <w:rPr>
          <w:spacing w:val="-53"/>
          <w:w w:val="100"/>
        </w:rPr>
        <w:t> </w:t>
      </w:r>
      <w:r>
        <w:rPr>
          <w:w w:val="100"/>
        </w:rPr>
        <w:t>10</w:t>
      </w:r>
      <w:r>
        <w:rPr>
          <w:spacing w:val="-53"/>
          <w:w w:val="100"/>
        </w:rPr>
        <w:t> </w:t>
      </w:r>
      <w:r>
        <w:rPr>
          <w:w w:val="100"/>
        </w:rPr>
        <w:t>月</w:t>
      </w:r>
      <w:r>
        <w:rPr>
          <w:spacing w:val="-51"/>
          <w:w w:val="100"/>
        </w:rPr>
        <w:t> </w:t>
      </w:r>
      <w:r>
        <w:rPr>
          <w:w w:val="100"/>
        </w:rPr>
        <w:t>25</w:t>
      </w:r>
      <w:r>
        <w:rPr>
          <w:spacing w:val="-53"/>
          <w:w w:val="100"/>
        </w:rPr>
        <w:t> </w:t>
      </w:r>
      <w:r>
        <w:rPr>
          <w:spacing w:val="-4"/>
          <w:w w:val="100"/>
        </w:rPr>
        <w:t>日，招商银行股份有限公</w:t>
      </w:r>
      <w:r>
        <w:rPr>
          <w:w w:val="100"/>
        </w:rPr>
        <w:t> </w:t>
      </w:r>
      <w:r>
        <w:rPr/>
        <w:t>司广州分行科技园支行为本公司提供</w:t>
      </w:r>
      <w:r>
        <w:rPr>
          <w:spacing w:val="-41"/>
        </w:rPr>
        <w:t> </w:t>
      </w:r>
      <w:r>
        <w:rPr/>
        <w:t>2000</w:t>
      </w:r>
      <w:r>
        <w:rPr>
          <w:spacing w:val="-43"/>
        </w:rPr>
        <w:t> </w:t>
      </w:r>
      <w:r>
        <w:rPr/>
        <w:t>万元贷款，到期日</w:t>
      </w:r>
      <w:r>
        <w:rPr>
          <w:spacing w:val="-43"/>
        </w:rPr>
        <w:t> </w:t>
      </w:r>
      <w:r>
        <w:rPr/>
        <w:t>2018</w:t>
      </w:r>
      <w:r>
        <w:rPr>
          <w:spacing w:val="-43"/>
        </w:rPr>
        <w:t> </w:t>
      </w:r>
      <w:r>
        <w:rPr/>
        <w:t>年</w:t>
      </w:r>
      <w:r>
        <w:rPr>
          <w:spacing w:val="-43"/>
        </w:rPr>
        <w:t> </w:t>
      </w:r>
      <w:r>
        <w:rPr/>
        <w:t>9</w:t>
      </w:r>
      <w:r>
        <w:rPr>
          <w:spacing w:val="-43"/>
        </w:rPr>
        <w:t> </w:t>
      </w:r>
      <w:r>
        <w:rPr/>
        <w:t>月</w:t>
      </w:r>
      <w:r>
        <w:rPr>
          <w:spacing w:val="-41"/>
        </w:rPr>
        <w:t> </w:t>
      </w:r>
      <w:r>
        <w:rPr/>
        <w:t>13</w:t>
      </w:r>
      <w:r>
        <w:rPr>
          <w:spacing w:val="-43"/>
        </w:rPr>
        <w:t> </w:t>
      </w:r>
      <w:r>
        <w:rPr/>
        <w:t>日，贷款利率为人民</w:t>
      </w:r>
      <w:r>
        <w:rPr>
          <w:w w:val="100"/>
        </w:rPr>
        <w:t> </w:t>
      </w:r>
      <w:r>
        <w:rPr/>
        <w:t>银行公布的</w:t>
      </w:r>
      <w:r>
        <w:rPr>
          <w:spacing w:val="-55"/>
        </w:rPr>
        <w:t> </w:t>
      </w:r>
      <w:r>
        <w:rPr/>
        <w:t>1</w:t>
      </w:r>
      <w:r>
        <w:rPr>
          <w:spacing w:val="-55"/>
        </w:rPr>
        <w:t> </w:t>
      </w:r>
      <w:r>
        <w:rPr/>
        <w:t>年期贷款利率为基准利率，上浮</w:t>
      </w:r>
      <w:r>
        <w:rPr>
          <w:spacing w:val="-55"/>
        </w:rPr>
        <w:t> </w:t>
      </w:r>
      <w:r>
        <w:rPr/>
        <w:t>10%。</w:t>
      </w:r>
    </w:p>
    <w:p>
      <w:pPr>
        <w:spacing w:before="77"/>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16、应付账款</w:t>
      </w:r>
      <w:r>
        <w:rPr>
          <w:rFonts w:ascii="宋体" w:hAnsi="宋体" w:cs="宋体" w:eastAsia="宋体" w:hint="default"/>
          <w:sz w:val="21"/>
          <w:szCs w:val="21"/>
        </w:rPr>
      </w:r>
    </w:p>
    <w:p>
      <w:pPr>
        <w:pStyle w:val="BodyText"/>
        <w:spacing w:line="240" w:lineRule="auto" w:before="20"/>
        <w:ind w:right="0"/>
        <w:jc w:val="left"/>
      </w:pPr>
      <w:r>
        <w:rPr/>
        <w:t>（1）应付账款列示</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322"/>
        <w:gridCol w:w="3048"/>
        <w:gridCol w:w="2873"/>
      </w:tblGrid>
      <w:tr>
        <w:trPr>
          <w:trHeight w:val="324"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6"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劳务及工程物资采购款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257,551,721.73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235,377,859.18</w:t>
            </w:r>
          </w:p>
        </w:tc>
      </w:tr>
      <w:tr>
        <w:trPr>
          <w:trHeight w:val="324"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短彩信通道及服务费等款项</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52,410,841.53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46,122,021.79</w:t>
            </w:r>
          </w:p>
        </w:tc>
      </w:tr>
      <w:tr>
        <w:trPr>
          <w:trHeight w:val="326"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其他零星款项</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8"/>
                <w:szCs w:val="18"/>
              </w:rPr>
            </w:pPr>
            <w:r>
              <w:rPr>
                <w:rFonts w:ascii="宋体"/>
                <w:sz w:val="18"/>
              </w:rPr>
              <w:t>4,983,617.41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30,596.80</w:t>
            </w:r>
          </w:p>
        </w:tc>
      </w:tr>
      <w:tr>
        <w:trPr>
          <w:trHeight w:val="324"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314,946,180.67</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281,530,477.77</w:t>
            </w:r>
          </w:p>
        </w:tc>
      </w:tr>
    </w:tbl>
    <w:p>
      <w:pPr>
        <w:pStyle w:val="BodyText"/>
        <w:spacing w:line="240" w:lineRule="auto" w:before="50"/>
        <w:ind w:right="0"/>
        <w:jc w:val="left"/>
      </w:pPr>
      <w:r>
        <w:rPr/>
        <w:t>（2）账龄超过</w:t>
      </w:r>
      <w:r>
        <w:rPr>
          <w:spacing w:val="-55"/>
        </w:rPr>
        <w:t> </w:t>
      </w:r>
      <w:r>
        <w:rPr/>
        <w:t>1</w:t>
      </w:r>
      <w:r>
        <w:rPr>
          <w:spacing w:val="-53"/>
        </w:rPr>
        <w:t> </w:t>
      </w:r>
      <w:r>
        <w:rPr/>
        <w:t>年的重要应付账款</w:t>
      </w:r>
    </w:p>
    <w:p>
      <w:pPr>
        <w:spacing w:line="240" w:lineRule="auto" w:before="10"/>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3857"/>
        <w:gridCol w:w="1985"/>
        <w:gridCol w:w="3401"/>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安徽御风通信工程有限责任公司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宋体" w:hAnsi="宋体" w:cs="宋体" w:eastAsia="宋体" w:hint="default"/>
                <w:sz w:val="18"/>
                <w:szCs w:val="18"/>
              </w:rPr>
            </w:pPr>
            <w:r>
              <w:rPr>
                <w:rFonts w:ascii="宋体"/>
                <w:sz w:val="18"/>
              </w:rPr>
              <w:t>548,835.44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呼和浩特市国通通信工程有限公司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397,169.81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38"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山东省邮电工程有限公司烟台分公司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宋体" w:hAnsi="宋体" w:cs="宋体" w:eastAsia="宋体" w:hint="default"/>
                <w:sz w:val="18"/>
                <w:szCs w:val="18"/>
              </w:rPr>
            </w:pPr>
            <w:r>
              <w:rPr>
                <w:rFonts w:ascii="宋体"/>
                <w:sz w:val="18"/>
              </w:rPr>
              <w:t>304,102.50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内蒙古龙威通信工程有限公司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301,249.08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阿拉善左旗巴彦浩特镇远华通信设备维护中心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宋体" w:hAnsi="宋体" w:cs="宋体" w:eastAsia="宋体" w:hint="default"/>
                <w:sz w:val="18"/>
                <w:szCs w:val="18"/>
              </w:rPr>
            </w:pPr>
            <w:r>
              <w:rPr>
                <w:rFonts w:ascii="宋体"/>
                <w:sz w:val="18"/>
              </w:rPr>
              <w:t>262,714.63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38"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内蒙古永创电子科技有限公司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宋体" w:hAnsi="宋体" w:cs="宋体" w:eastAsia="宋体" w:hint="default"/>
                <w:sz w:val="18"/>
                <w:szCs w:val="18"/>
              </w:rPr>
            </w:pPr>
            <w:r>
              <w:rPr>
                <w:rFonts w:ascii="宋体"/>
                <w:sz w:val="18"/>
              </w:rPr>
              <w:t>156,212.21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云南龙瑞经贸有限公司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297,087.00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材料采购未结算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陈林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192,654.86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劳务款未结算</w:t>
            </w:r>
          </w:p>
        </w:tc>
      </w:tr>
      <w:tr>
        <w:trPr>
          <w:trHeight w:val="338"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佛山市南海立名办公家具有限公司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宋体" w:hAnsi="宋体" w:cs="宋体" w:eastAsia="宋体" w:hint="default"/>
                <w:sz w:val="18"/>
                <w:szCs w:val="18"/>
              </w:rPr>
            </w:pPr>
            <w:r>
              <w:rPr>
                <w:rFonts w:ascii="宋体"/>
                <w:sz w:val="18"/>
              </w:rPr>
              <w:t>126,808.00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材料采购未结算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上海圆迈贸易有限公司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宋体" w:hAnsi="宋体" w:cs="宋体" w:eastAsia="宋体" w:hint="default"/>
                <w:sz w:val="18"/>
                <w:szCs w:val="18"/>
              </w:rPr>
            </w:pPr>
            <w:r>
              <w:rPr>
                <w:rFonts w:ascii="宋体"/>
                <w:sz w:val="18"/>
              </w:rPr>
              <w:t>120,552.00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材料采购未结算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人民网股份有限公司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374,009.00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已终止合作，对方人员更换后未来结算</w:t>
            </w:r>
          </w:p>
        </w:tc>
      </w:tr>
      <w:tr>
        <w:trPr>
          <w:trHeight w:val="338"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上海三媒信息科技有限公司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宋体" w:hAnsi="宋体" w:cs="宋体" w:eastAsia="宋体" w:hint="default"/>
                <w:sz w:val="18"/>
                <w:szCs w:val="18"/>
              </w:rPr>
            </w:pPr>
            <w:r>
              <w:rPr>
                <w:rFonts w:ascii="宋体"/>
                <w:sz w:val="18"/>
              </w:rPr>
              <w:t>100,000.00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已终止合作，对方人员更换后未来结算</w:t>
            </w:r>
          </w:p>
        </w:tc>
      </w:tr>
      <w:tr>
        <w:trPr>
          <w:trHeight w:val="34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宋体" w:hAnsi="宋体" w:cs="宋体" w:eastAsia="宋体" w:hint="default"/>
                <w:sz w:val="18"/>
                <w:szCs w:val="18"/>
              </w:rPr>
            </w:pPr>
            <w:r>
              <w:rPr>
                <w:rFonts w:ascii="宋体"/>
                <w:sz w:val="18"/>
              </w:rPr>
              <w:t>3,181,394.53</w:t>
            </w:r>
          </w:p>
        </w:tc>
        <w:tc>
          <w:tcPr>
            <w:tcW w:w="34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17、预收款项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1219" w:top="1140" w:bottom="1400" w:left="1320" w:right="1100"/>
        </w:sectPr>
      </w:pPr>
    </w:p>
    <w:p>
      <w:pPr>
        <w:pStyle w:val="BodyText"/>
        <w:spacing w:line="240" w:lineRule="auto" w:before="131"/>
        <w:ind w:right="0"/>
        <w:jc w:val="left"/>
      </w:pPr>
      <w:r>
        <w:rPr/>
        <w:t>（</w:t>
      </w:r>
      <w:r>
        <w:rPr>
          <w:rFonts w:ascii="Arial" w:hAnsi="Arial" w:cs="Arial" w:eastAsia="Arial" w:hint="default"/>
        </w:rPr>
        <w:t>1</w:t>
      </w:r>
      <w:r>
        <w:rPr/>
        <w:t>）预收款项列示</w:t>
      </w:r>
    </w:p>
    <w:p>
      <w:pPr>
        <w:spacing w:line="240" w:lineRule="auto" w:before="9"/>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00"/>
        <w:gridCol w:w="2918"/>
        <w:gridCol w:w="3024"/>
      </w:tblGrid>
      <w:tr>
        <w:trPr>
          <w:trHeight w:val="322" w:hRule="exact"/>
        </w:trPr>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18"/>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4" w:hRule="exact"/>
        </w:trPr>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预收运营商维护工程款</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2,271,738.28</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1,830,208.95</w:t>
            </w:r>
          </w:p>
        </w:tc>
      </w:tr>
      <w:tr>
        <w:trPr>
          <w:trHeight w:val="322" w:hRule="exact"/>
        </w:trPr>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预收短信发送款</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71,475,082.06</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68,800,565.71</w:t>
            </w:r>
          </w:p>
        </w:tc>
      </w:tr>
      <w:tr>
        <w:trPr>
          <w:trHeight w:val="322" w:hRule="exact"/>
        </w:trPr>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预收流量款</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806,409.82</w:t>
            </w:r>
          </w:p>
        </w:tc>
        <w:tc>
          <w:tcPr>
            <w:tcW w:w="302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64"/>
              <w:jc w:val="right"/>
              <w:rPr>
                <w:rFonts w:ascii="宋体" w:hAnsi="宋体" w:cs="宋体" w:eastAsia="宋体" w:hint="default"/>
                <w:sz w:val="18"/>
                <w:szCs w:val="18"/>
              </w:rPr>
            </w:pPr>
            <w:r>
              <w:rPr>
                <w:rFonts w:ascii="宋体" w:hAnsi="宋体" w:cs="宋体" w:eastAsia="宋体" w:hint="default"/>
                <w:sz w:val="18"/>
                <w:szCs w:val="18"/>
              </w:rPr>
              <w:t>合计</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74,553,230.16</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z w:val="18"/>
              </w:rPr>
              <w:t>70,630,774.66</w:t>
            </w:r>
          </w:p>
        </w:tc>
      </w:tr>
    </w:tbl>
    <w:p>
      <w:pPr>
        <w:pStyle w:val="BodyText"/>
        <w:spacing w:line="240" w:lineRule="auto" w:before="74"/>
        <w:ind w:right="0"/>
        <w:jc w:val="left"/>
      </w:pPr>
      <w:r>
        <w:rPr/>
        <w:t>（2）账龄超过</w:t>
      </w:r>
      <w:r>
        <w:rPr>
          <w:spacing w:val="-55"/>
        </w:rPr>
        <w:t> </w:t>
      </w:r>
      <w:r>
        <w:rPr/>
        <w:t>1</w:t>
      </w:r>
      <w:r>
        <w:rPr>
          <w:spacing w:val="-53"/>
        </w:rPr>
        <w:t> </w:t>
      </w:r>
      <w:r>
        <w:rPr/>
        <w:t>年的重要预收款项</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95"/>
        <w:gridCol w:w="2124"/>
        <w:gridCol w:w="4394"/>
      </w:tblGrid>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北京市人力资源和社会保障局</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3,083,090.39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673,090.39</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4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广州华多网络科技有限公司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905,878.82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536,860.48</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全国组织机构代码管理中心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421,600.95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421,600.95</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中国免税品（集团）有限公司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414,565.72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414,565.72</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上海房屋销售（集团）有限公司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394,810.17</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394,810.17</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山西省公安厅交通管理局</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337,500.00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337,500.00</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深圳市君诚科技发展有限公司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334,133.15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334,133.15</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4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融合通信技术（天津）有限公司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322,826.42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322,826.42</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郑州维创盈通软件科技有限公司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282,770.70</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282,770.70</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绿麻雀（北京）科技有限公司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275,047.35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宋体" w:hAnsi="宋体" w:cs="宋体" w:eastAsia="宋体" w:hint="default"/>
                <w:sz w:val="18"/>
                <w:szCs w:val="18"/>
              </w:rPr>
              <w:t>265,047.35</w:t>
            </w:r>
            <w:r>
              <w:rPr>
                <w:rFonts w:ascii="宋体" w:hAnsi="宋体" w:cs="宋体" w:eastAsia="宋体" w:hint="default"/>
                <w:spacing w:val="-47"/>
                <w:sz w:val="18"/>
                <w:szCs w:val="18"/>
              </w:rPr>
              <w:t> </w:t>
            </w:r>
            <w:r>
              <w:rPr>
                <w:rFonts w:ascii="宋体" w:hAnsi="宋体" w:cs="宋体" w:eastAsia="宋体" w:hint="default"/>
                <w:sz w:val="18"/>
                <w:szCs w:val="18"/>
              </w:rPr>
              <w:t>元预存短信款，交易尚未完成</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6,772,223.67</w:t>
            </w:r>
          </w:p>
        </w:tc>
        <w:tc>
          <w:tcPr>
            <w:tcW w:w="43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18、应付职工薪酬</w:t>
      </w:r>
      <w:r>
        <w:rPr>
          <w:rFonts w:ascii="宋体" w:hAnsi="宋体" w:cs="宋体" w:eastAsia="宋体" w:hint="default"/>
          <w:sz w:val="21"/>
          <w:szCs w:val="21"/>
        </w:rPr>
      </w:r>
    </w:p>
    <w:p>
      <w:pPr>
        <w:pStyle w:val="BodyText"/>
        <w:spacing w:line="240" w:lineRule="auto" w:before="20"/>
        <w:ind w:right="0"/>
        <w:jc w:val="left"/>
      </w:pPr>
      <w:r>
        <w:rPr/>
        <w:t>（</w:t>
      </w:r>
      <w:r>
        <w:rPr>
          <w:rFonts w:ascii="Arial" w:hAnsi="Arial" w:cs="Arial" w:eastAsia="Arial" w:hint="default"/>
        </w:rPr>
        <w:t>1</w:t>
      </w:r>
      <w:r>
        <w:rPr/>
        <w:t>）应付职工薪酬列示</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95"/>
        <w:gridCol w:w="1699"/>
        <w:gridCol w:w="1560"/>
        <w:gridCol w:w="1558"/>
        <w:gridCol w:w="1702"/>
      </w:tblGrid>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49,177,659.94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470,755,837.83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449,200,940.19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70,732,557.58</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二、离职后福利-设定提存计划</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251,100.68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36,248,470.51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35,941,643.73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557,927.46</w:t>
            </w:r>
          </w:p>
        </w:tc>
      </w:tr>
      <w:tr>
        <w:trPr>
          <w:trHeight w:val="34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49,428,760.62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507,004,308.34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485,142,583.92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71,290,485.04</w:t>
            </w:r>
          </w:p>
        </w:tc>
      </w:tr>
    </w:tbl>
    <w:p>
      <w:pPr>
        <w:pStyle w:val="BodyText"/>
        <w:spacing w:line="240" w:lineRule="auto" w:before="50"/>
        <w:ind w:right="0"/>
        <w:jc w:val="left"/>
      </w:pPr>
      <w:r>
        <w:rPr/>
        <w:t>（2）短期薪酬列示</w:t>
      </w: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95"/>
        <w:gridCol w:w="1699"/>
        <w:gridCol w:w="1560"/>
        <w:gridCol w:w="1558"/>
        <w:gridCol w:w="1699"/>
      </w:tblGrid>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1、工资、奖金、津贴和补贴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49,102,240.75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437,641,235.16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416,781,903.58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69,961,572.33</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3,982,118.99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3,982,118.99</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64,032.67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19,788,213.03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19,436,268.18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415,977.52</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1,539.72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17,288,917.58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16,914,889.04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375,568.26</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14,863.83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1,053,238.14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1,052,617.45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15,484.52</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47,629.12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1,446,057.31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1,468,761.69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24,924.74</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9,144,061.19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8,804,713.19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339,348.00</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5、工会经费和职工教育经费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11,386.52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200,209.46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195,936.25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15,659.73</w:t>
            </w:r>
          </w:p>
        </w:tc>
      </w:tr>
      <w:tr>
        <w:trPr>
          <w:trHeight w:val="34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 w:right="0"/>
              <w:jc w:val="left"/>
              <w:rPr>
                <w:rFonts w:ascii="宋体" w:hAnsi="宋体" w:cs="宋体" w:eastAsia="宋体" w:hint="default"/>
                <w:sz w:val="18"/>
                <w:szCs w:val="18"/>
              </w:rPr>
            </w:pPr>
            <w:r>
              <w:rPr>
                <w:rFonts w:ascii="宋体" w:hAnsi="宋体" w:cs="宋体" w:eastAsia="宋体" w:hint="default"/>
                <w:sz w:val="18"/>
                <w:szCs w:val="18"/>
              </w:rPr>
              <w:t>6、短期带薪缺勤</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7、短期利润分享计划</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695"/>
        <w:gridCol w:w="1699"/>
        <w:gridCol w:w="1560"/>
        <w:gridCol w:w="1558"/>
        <w:gridCol w:w="1699"/>
      </w:tblGrid>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94" w:right="0"/>
              <w:jc w:val="left"/>
              <w:rPr>
                <w:rFonts w:ascii="宋体" w:hAnsi="宋体" w:cs="宋体" w:eastAsia="宋体" w:hint="default"/>
                <w:sz w:val="18"/>
                <w:szCs w:val="18"/>
              </w:rPr>
            </w:pPr>
            <w:r>
              <w:rPr>
                <w:rFonts w:ascii="宋体"/>
                <w:sz w:val="18"/>
              </w:rPr>
              <w:t>49,177,659.94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6" w:right="0"/>
              <w:jc w:val="left"/>
              <w:rPr>
                <w:rFonts w:ascii="宋体" w:hAnsi="宋体" w:cs="宋体" w:eastAsia="宋体" w:hint="default"/>
                <w:sz w:val="18"/>
                <w:szCs w:val="18"/>
              </w:rPr>
            </w:pPr>
            <w:r>
              <w:rPr>
                <w:rFonts w:ascii="宋体"/>
                <w:sz w:val="18"/>
              </w:rPr>
              <w:t>470,755,837.83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6" w:right="0"/>
              <w:jc w:val="left"/>
              <w:rPr>
                <w:rFonts w:ascii="宋体" w:hAnsi="宋体" w:cs="宋体" w:eastAsia="宋体" w:hint="default"/>
                <w:sz w:val="18"/>
                <w:szCs w:val="18"/>
              </w:rPr>
            </w:pPr>
            <w:r>
              <w:rPr>
                <w:rFonts w:ascii="宋体"/>
                <w:sz w:val="18"/>
              </w:rPr>
              <w:t>449,200,940.19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94" w:right="0"/>
              <w:jc w:val="left"/>
              <w:rPr>
                <w:rFonts w:ascii="宋体" w:hAnsi="宋体" w:cs="宋体" w:eastAsia="宋体" w:hint="default"/>
                <w:sz w:val="18"/>
                <w:szCs w:val="18"/>
              </w:rPr>
            </w:pPr>
            <w:r>
              <w:rPr>
                <w:rFonts w:ascii="宋体"/>
                <w:sz w:val="18"/>
              </w:rPr>
              <w:t>70,732,557.58</w:t>
            </w:r>
          </w:p>
        </w:tc>
      </w:tr>
    </w:tbl>
    <w:p>
      <w:pPr>
        <w:pStyle w:val="BodyText"/>
        <w:spacing w:line="240" w:lineRule="auto" w:before="50"/>
        <w:ind w:right="0"/>
        <w:jc w:val="left"/>
      </w:pPr>
      <w:r>
        <w:rPr/>
        <w:t>（3）设定提存计划列示</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95"/>
        <w:gridCol w:w="1639"/>
        <w:gridCol w:w="1558"/>
        <w:gridCol w:w="1560"/>
        <w:gridCol w:w="1762"/>
      </w:tblGrid>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1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238,012.36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35,004,554.36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sz w:val="18"/>
              </w:rPr>
              <w:t>34,709,088.89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533,477.83</w:t>
            </w:r>
          </w:p>
        </w:tc>
      </w:tr>
      <w:tr>
        <w:trPr>
          <w:trHeight w:val="34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13,088.32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1,243,916.15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6" w:right="0"/>
              <w:jc w:val="left"/>
              <w:rPr>
                <w:rFonts w:ascii="宋体" w:hAnsi="宋体" w:cs="宋体" w:eastAsia="宋体" w:hint="default"/>
                <w:sz w:val="18"/>
                <w:szCs w:val="18"/>
              </w:rPr>
            </w:pPr>
            <w:r>
              <w:rPr>
                <w:rFonts w:ascii="宋体"/>
                <w:sz w:val="18"/>
              </w:rPr>
              <w:t>1,232,554.84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24,449.63</w:t>
            </w:r>
          </w:p>
        </w:tc>
      </w:tr>
      <w:tr>
        <w:trPr>
          <w:trHeight w:val="35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61"/>
              <w:jc w:val="right"/>
              <w:rPr>
                <w:rFonts w:ascii="宋体" w:hAnsi="宋体" w:cs="宋体" w:eastAsia="宋体" w:hint="default"/>
                <w:sz w:val="18"/>
                <w:szCs w:val="18"/>
              </w:rPr>
            </w:pPr>
            <w:r>
              <w:rPr>
                <w:rFonts w:ascii="宋体" w:hAnsi="宋体" w:cs="宋体" w:eastAsia="宋体" w:hint="default"/>
                <w:sz w:val="18"/>
                <w:szCs w:val="18"/>
              </w:rPr>
              <w:t>合计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251,100.68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36,248,470.51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sz w:val="18"/>
              </w:rPr>
              <w:t>35,941,643.73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557,927.46</w:t>
            </w:r>
          </w:p>
        </w:tc>
      </w:tr>
    </w:tbl>
    <w:p>
      <w:pPr>
        <w:spacing w:line="240" w:lineRule="auto" w:before="5"/>
        <w:rPr>
          <w:rFonts w:ascii="宋体" w:hAnsi="宋体" w:cs="宋体" w:eastAsia="宋体" w:hint="default"/>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19、应缴税费</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828"/>
        <w:gridCol w:w="2834"/>
        <w:gridCol w:w="2549"/>
      </w:tblGrid>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80"/>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16,535,507.48</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8,531,905.33</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1,249,212.16</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717,646.51</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17,985,349.68</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16,042,990.57</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1,512,883.12</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1,162,546.56</w:t>
            </w:r>
          </w:p>
        </w:tc>
      </w:tr>
      <w:tr>
        <w:trPr>
          <w:trHeight w:val="34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892,294.41</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401,395.38</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519,673.41</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289,804.46</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25"/>
              <w:jc w:val="righ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38,694,920.26</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27,146,288.81</w:t>
            </w:r>
          </w:p>
        </w:tc>
      </w:tr>
    </w:tbl>
    <w:p>
      <w:pPr>
        <w:spacing w:line="240" w:lineRule="auto" w:before="5"/>
        <w:rPr>
          <w:rFonts w:ascii="宋体" w:hAnsi="宋体" w:cs="宋体" w:eastAsia="宋体" w:hint="default"/>
          <w:b/>
          <w:bCs/>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20、应付利息</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828"/>
        <w:gridCol w:w="2834"/>
        <w:gridCol w:w="2551"/>
      </w:tblGrid>
      <w:tr>
        <w:trPr>
          <w:trHeight w:val="32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80"/>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24,166.67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24,166.69</w:t>
            </w:r>
          </w:p>
        </w:tc>
      </w:tr>
      <w:tr>
        <w:trPr>
          <w:trHeight w:val="32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25"/>
              <w:jc w:val="righ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24,166.67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24,166.69</w:t>
            </w:r>
          </w:p>
        </w:tc>
      </w:tr>
    </w:tbl>
    <w:p>
      <w:pPr>
        <w:spacing w:line="240" w:lineRule="auto" w:before="2"/>
        <w:rPr>
          <w:rFonts w:ascii="宋体" w:hAnsi="宋体" w:cs="宋体" w:eastAsia="宋体" w:hint="default"/>
          <w:b/>
          <w:bCs/>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21、应付股利</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828"/>
        <w:gridCol w:w="2834"/>
        <w:gridCol w:w="2551"/>
      </w:tblGrid>
      <w:tr>
        <w:trPr>
          <w:trHeight w:val="35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80"/>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874,026.67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874,026.67</w:t>
            </w:r>
          </w:p>
        </w:tc>
      </w:tr>
      <w:tr>
        <w:trPr>
          <w:trHeight w:val="35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25"/>
              <w:jc w:val="righ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874,026.67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874,026.67</w:t>
            </w:r>
          </w:p>
        </w:tc>
      </w:tr>
    </w:tbl>
    <w:p>
      <w:pPr>
        <w:spacing w:line="240" w:lineRule="auto" w:before="2"/>
        <w:rPr>
          <w:rFonts w:ascii="宋体" w:hAnsi="宋体" w:cs="宋体" w:eastAsia="宋体" w:hint="default"/>
          <w:b/>
          <w:bCs/>
          <w:sz w:val="15"/>
          <w:szCs w:val="15"/>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22、其他应付款</w:t>
      </w:r>
      <w:r>
        <w:rPr>
          <w:rFonts w:ascii="宋体" w:hAnsi="宋体" w:cs="宋体" w:eastAsia="宋体" w:hint="default"/>
          <w:sz w:val="21"/>
          <w:szCs w:val="21"/>
        </w:rPr>
      </w:r>
    </w:p>
    <w:p>
      <w:pPr>
        <w:pStyle w:val="BodyText"/>
        <w:spacing w:line="240" w:lineRule="auto" w:before="85"/>
        <w:ind w:right="0"/>
        <w:jc w:val="left"/>
      </w:pPr>
      <w:r>
        <w:rPr/>
        <w:t>（1）按款项性质列示其他应付款</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8"/>
        <w:gridCol w:w="2834"/>
        <w:gridCol w:w="2551"/>
      </w:tblGrid>
      <w:tr>
        <w:trPr>
          <w:trHeight w:val="326"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80"/>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供应商保证金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3,768,220.17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4,490,710.38</w:t>
            </w:r>
          </w:p>
        </w:tc>
      </w:tr>
      <w:tr>
        <w:trPr>
          <w:trHeight w:val="326"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17,501,961.39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32,312,316.21</w:t>
            </w:r>
          </w:p>
        </w:tc>
      </w:tr>
      <w:tr>
        <w:trPr>
          <w:trHeight w:val="32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25"/>
              <w:jc w:val="righ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21,270,181.56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36,803,026.59</w:t>
            </w:r>
          </w:p>
        </w:tc>
      </w:tr>
    </w:tbl>
    <w:p>
      <w:pPr>
        <w:pStyle w:val="BodyText"/>
        <w:spacing w:line="240" w:lineRule="auto" w:before="81"/>
        <w:ind w:right="0"/>
        <w:jc w:val="left"/>
      </w:pPr>
      <w:r>
        <w:rPr/>
        <w:t>（2）账龄超过</w:t>
      </w:r>
      <w:r>
        <w:rPr>
          <w:spacing w:val="-55"/>
        </w:rPr>
        <w:t> </w:t>
      </w:r>
      <w:r>
        <w:rPr/>
        <w:t>1</w:t>
      </w:r>
      <w:r>
        <w:rPr>
          <w:spacing w:val="-53"/>
        </w:rPr>
        <w:t> </w:t>
      </w:r>
      <w:r>
        <w:rPr/>
        <w:t>年的重要其他应付款</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828"/>
        <w:gridCol w:w="2693"/>
        <w:gridCol w:w="2693"/>
      </w:tblGrid>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李博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1,000,810.30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4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河南振兴建设工程集团有限公司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锦州晨宇信息技术有限公司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250,000.00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刘杰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吕霞琳</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33,208.17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bl>
    <w:p>
      <w:pPr>
        <w:spacing w:after="0" w:line="240" w:lineRule="auto"/>
        <w:jc w:val="center"/>
        <w:rPr>
          <w:rFonts w:ascii="宋体" w:hAnsi="宋体" w:cs="宋体" w:eastAsia="宋体" w:hint="default"/>
          <w:sz w:val="18"/>
          <w:szCs w:val="18"/>
        </w:rPr>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828"/>
        <w:gridCol w:w="2693"/>
        <w:gridCol w:w="2693"/>
      </w:tblGrid>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汪劲松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广州维客信息科技有限公司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董广超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垫付款未支付</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天津将至网络技术有限公司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合同执行中的保证金</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2,114,018.47</w:t>
            </w: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23、其他流动负债</w:t>
      </w:r>
      <w:r>
        <w:rPr>
          <w:rFonts w:ascii="宋体" w:hAnsi="宋体" w:cs="宋体" w:eastAsia="宋体" w:hint="default"/>
          <w:sz w:val="21"/>
          <w:szCs w:val="21"/>
        </w:rPr>
      </w:r>
    </w:p>
    <w:p>
      <w:pPr>
        <w:spacing w:line="240" w:lineRule="auto" w:before="11"/>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828"/>
        <w:gridCol w:w="2693"/>
        <w:gridCol w:w="2693"/>
      </w:tblGrid>
      <w:tr>
        <w:trPr>
          <w:trHeight w:val="34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18,122,507.87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12,938,193.05</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待抵扣赠送话费</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29,888,750.00</w:t>
            </w:r>
          </w:p>
        </w:tc>
      </w:tr>
      <w:tr>
        <w:trPr>
          <w:trHeight w:val="35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18,122,507.87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42,826,943.05</w:t>
            </w:r>
          </w:p>
        </w:tc>
      </w:tr>
    </w:tbl>
    <w:p>
      <w:pPr>
        <w:spacing w:line="240" w:lineRule="auto" w:before="1"/>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24、专项应付款</w:t>
      </w:r>
      <w:r>
        <w:rPr>
          <w:rFonts w:ascii="宋体" w:hAnsi="宋体" w:cs="宋体" w:eastAsia="宋体" w:hint="default"/>
          <w:sz w:val="21"/>
          <w:szCs w:val="21"/>
        </w:rPr>
      </w:r>
    </w:p>
    <w:p>
      <w:pPr>
        <w:spacing w:line="240" w:lineRule="auto" w:before="11"/>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222"/>
        <w:gridCol w:w="1555"/>
        <w:gridCol w:w="1202"/>
        <w:gridCol w:w="1483"/>
        <w:gridCol w:w="1373"/>
        <w:gridCol w:w="1378"/>
      </w:tblGrid>
      <w:tr>
        <w:trPr>
          <w:trHeight w:val="370"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1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7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24"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70"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高新技术成果转化项目</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1" w:right="0"/>
              <w:jc w:val="left"/>
              <w:rPr>
                <w:rFonts w:ascii="宋体" w:hAnsi="宋体" w:cs="宋体" w:eastAsia="宋体" w:hint="default"/>
                <w:sz w:val="18"/>
                <w:szCs w:val="18"/>
              </w:rPr>
            </w:pPr>
            <w:r>
              <w:rPr>
                <w:rFonts w:ascii="宋体"/>
                <w:sz w:val="18"/>
              </w:rPr>
              <w:t>3,000,000.00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72" w:right="0"/>
              <w:jc w:val="left"/>
              <w:rPr>
                <w:rFonts w:ascii="宋体" w:hAnsi="宋体" w:cs="宋体" w:eastAsia="宋体" w:hint="default"/>
                <w:sz w:val="18"/>
                <w:szCs w:val="18"/>
              </w:rPr>
            </w:pPr>
            <w:r>
              <w:rPr>
                <w:rFonts w:ascii="宋体"/>
                <w:sz w:val="18"/>
              </w:rPr>
              <w:t>3,000,000.00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1" w:right="0"/>
              <w:jc w:val="left"/>
              <w:rPr>
                <w:rFonts w:ascii="宋体" w:hAnsi="宋体" w:cs="宋体" w:eastAsia="宋体" w:hint="default"/>
                <w:sz w:val="18"/>
                <w:szCs w:val="18"/>
              </w:rPr>
            </w:pPr>
            <w:r>
              <w:rPr>
                <w:rFonts w:ascii="宋体"/>
                <w:sz w:val="18"/>
              </w:rPr>
              <w:t>3,000,000.00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72" w:right="0"/>
              <w:jc w:val="left"/>
              <w:rPr>
                <w:rFonts w:ascii="宋体" w:hAnsi="宋体" w:cs="宋体" w:eastAsia="宋体" w:hint="default"/>
                <w:sz w:val="18"/>
                <w:szCs w:val="18"/>
              </w:rPr>
            </w:pPr>
            <w:r>
              <w:rPr>
                <w:rFonts w:ascii="宋体"/>
                <w:sz w:val="18"/>
              </w:rPr>
              <w:t>3,000,000.00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25、股本</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985"/>
        <w:gridCol w:w="991"/>
        <w:gridCol w:w="701"/>
        <w:gridCol w:w="576"/>
        <w:gridCol w:w="427"/>
        <w:gridCol w:w="852"/>
        <w:gridCol w:w="994"/>
        <w:gridCol w:w="991"/>
        <w:gridCol w:w="991"/>
        <w:gridCol w:w="706"/>
      </w:tblGrid>
      <w:tr>
        <w:trPr>
          <w:trHeight w:val="350" w:hRule="exact"/>
        </w:trPr>
        <w:tc>
          <w:tcPr>
            <w:tcW w:w="1985" w:type="dxa"/>
            <w:vMerge w:val="restart"/>
            <w:tcBorders>
              <w:top w:val="single" w:sz="4" w:space="0" w:color="000000"/>
              <w:left w:val="single" w:sz="4" w:space="0" w:color="000000"/>
              <w:right w:val="single" w:sz="4" w:space="0" w:color="000000"/>
            </w:tcBorders>
          </w:tcPr>
          <w:p>
            <w:pP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宋体" w:hAnsi="宋体" w:cs="宋体" w:eastAsia="宋体" w:hint="default"/>
                <w:b/>
                <w:bCs/>
                <w:sz w:val="18"/>
                <w:szCs w:val="18"/>
              </w:rPr>
              <w:t>本报告期变动前</w:t>
            </w:r>
            <w:r>
              <w:rPr>
                <w:rFonts w:ascii="宋体" w:hAnsi="宋体" w:cs="宋体" w:eastAsia="宋体" w:hint="default"/>
                <w:sz w:val="18"/>
                <w:szCs w:val="18"/>
              </w:rPr>
            </w:r>
          </w:p>
        </w:tc>
        <w:tc>
          <w:tcPr>
            <w:tcW w:w="3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21" w:right="0"/>
              <w:jc w:val="left"/>
              <w:rPr>
                <w:rFonts w:ascii="宋体" w:hAnsi="宋体" w:cs="宋体" w:eastAsia="宋体" w:hint="default"/>
                <w:sz w:val="18"/>
                <w:szCs w:val="18"/>
              </w:rPr>
            </w:pPr>
            <w:r>
              <w:rPr>
                <w:rFonts w:ascii="宋体" w:hAnsi="宋体" w:cs="宋体" w:eastAsia="宋体" w:hint="default"/>
                <w:b/>
                <w:bCs/>
                <w:sz w:val="18"/>
                <w:szCs w:val="18"/>
              </w:rPr>
              <w:t>本报告期变动增减</w:t>
            </w:r>
            <w:r>
              <w:rPr>
                <w:rFonts w:ascii="宋体" w:hAnsi="宋体" w:cs="宋体" w:eastAsia="宋体" w:hint="default"/>
                <w:sz w:val="18"/>
                <w:szCs w:val="18"/>
              </w:rPr>
              <w:t>(+、-)</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b/>
                <w:bCs/>
                <w:sz w:val="18"/>
                <w:szCs w:val="18"/>
              </w:rPr>
              <w:t>本报告期变动后</w:t>
            </w:r>
            <w:r>
              <w:rPr>
                <w:rFonts w:ascii="宋体" w:hAnsi="宋体" w:cs="宋体" w:eastAsia="宋体" w:hint="default"/>
                <w:sz w:val="18"/>
                <w:szCs w:val="18"/>
              </w:rPr>
            </w:r>
          </w:p>
        </w:tc>
      </w:tr>
      <w:tr>
        <w:trPr>
          <w:trHeight w:val="475" w:hRule="exact"/>
        </w:trPr>
        <w:tc>
          <w:tcPr>
            <w:tcW w:w="1985"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8"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08" w:right="0"/>
              <w:jc w:val="lef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1"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11" w:right="0"/>
              <w:jc w:val="left"/>
              <w:rPr>
                <w:rFonts w:ascii="宋体" w:hAnsi="宋体" w:cs="宋体" w:eastAsia="宋体" w:hint="default"/>
                <w:sz w:val="18"/>
                <w:szCs w:val="18"/>
              </w:rPr>
            </w:pPr>
            <w:r>
              <w:rPr>
                <w:rFonts w:ascii="宋体"/>
                <w:sz w:val="18"/>
              </w:rPr>
              <w:t>(%)</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-.有限售条件股份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176,488,296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28.382</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Gill Sans MT Condensed" w:hAnsi="Gill Sans MT Condensed" w:cs="Gill Sans MT Condensed" w:eastAsia="Gill Sans MT Condensed" w:hint="default"/>
                <w:sz w:val="18"/>
                <w:szCs w:val="18"/>
              </w:rPr>
            </w:pPr>
            <w:r>
              <w:rPr>
                <w:rFonts w:ascii="宋体"/>
                <w:spacing w:val="-1"/>
                <w:sz w:val="18"/>
              </w:rPr>
              <w:t>-</w:t>
            </w: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Gill Sans MT Condensed" w:hAnsi="Gill Sans MT Condensed" w:cs="Gill Sans MT Condensed" w:eastAsia="Gill Sans MT Condensed" w:hint="default"/>
                <w:sz w:val="18"/>
                <w:szCs w:val="18"/>
              </w:rPr>
            </w:pPr>
            <w:r>
              <w:rPr>
                <w:rFonts w:ascii="宋体"/>
                <w:spacing w:val="-1"/>
                <w:sz w:val="18"/>
              </w:rPr>
              <w:t>-</w:t>
            </w: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183,074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Gill Sans MT Condensed" w:hAnsi="Gill Sans MT Condensed" w:cs="Gill Sans MT Condensed" w:eastAsia="Gill Sans MT Condensed" w:hint="default"/>
                <w:sz w:val="18"/>
                <w:szCs w:val="18"/>
              </w:rPr>
            </w:pPr>
            <w:r>
              <w:rPr>
                <w:rFonts w:ascii="Gill Sans MT Condensed"/>
                <w:spacing w:val="-1"/>
                <w:sz w:val="18"/>
              </w:rPr>
              <w:t>0.029</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176,488,296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28.382</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Gill Sans MT Condensed" w:hAnsi="Gill Sans MT Condensed" w:cs="Gill Sans MT Condensed" w:eastAsia="Gill Sans MT Condensed" w:hint="default"/>
                <w:sz w:val="18"/>
                <w:szCs w:val="18"/>
              </w:rPr>
            </w:pPr>
            <w:r>
              <w:rPr>
                <w:rFonts w:ascii="宋体"/>
                <w:spacing w:val="-1"/>
                <w:sz w:val="18"/>
              </w:rPr>
              <w:t>-</w:t>
            </w: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Gill Sans MT Condensed" w:hAnsi="Gill Sans MT Condensed" w:cs="Gill Sans MT Condensed" w:eastAsia="Gill Sans MT Condensed" w:hint="default"/>
                <w:sz w:val="18"/>
                <w:szCs w:val="18"/>
              </w:rPr>
            </w:pPr>
            <w:r>
              <w:rPr>
                <w:rFonts w:ascii="宋体"/>
                <w:spacing w:val="-1"/>
                <w:sz w:val="18"/>
              </w:rPr>
              <w:t>-</w:t>
            </w: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183,074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Gill Sans MT Condensed" w:hAnsi="Gill Sans MT Condensed" w:cs="Gill Sans MT Condensed" w:eastAsia="Gill Sans MT Condensed" w:hint="default"/>
                <w:sz w:val="18"/>
                <w:szCs w:val="18"/>
              </w:rPr>
            </w:pPr>
            <w:r>
              <w:rPr>
                <w:rFonts w:ascii="Gill Sans MT Condensed"/>
                <w:spacing w:val="-1"/>
                <w:sz w:val="18"/>
              </w:rPr>
              <w:t>0.029</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176,478,590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28.381</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Gill Sans MT Condensed" w:hAnsi="Gill Sans MT Condensed" w:cs="Gill Sans MT Condensed" w:eastAsia="Gill Sans MT Condensed" w:hint="default"/>
                <w:sz w:val="18"/>
                <w:szCs w:val="18"/>
              </w:rPr>
            </w:pPr>
            <w:r>
              <w:rPr>
                <w:rFonts w:ascii="宋体"/>
                <w:spacing w:val="-1"/>
                <w:sz w:val="18"/>
              </w:rPr>
              <w:t>-</w:t>
            </w: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Gill Sans MT Condensed" w:hAnsi="Gill Sans MT Condensed" w:cs="Gill Sans MT Condensed" w:eastAsia="Gill Sans MT Condensed" w:hint="default"/>
                <w:sz w:val="18"/>
                <w:szCs w:val="18"/>
              </w:rPr>
            </w:pPr>
            <w:r>
              <w:rPr>
                <w:rFonts w:ascii="宋体"/>
                <w:spacing w:val="-1"/>
                <w:sz w:val="18"/>
              </w:rPr>
              <w:t>-</w:t>
            </w: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173,368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Gill Sans MT Condensed" w:hAnsi="Gill Sans MT Condensed" w:cs="Gill Sans MT Condensed" w:eastAsia="Gill Sans MT Condensed" w:hint="default"/>
                <w:sz w:val="18"/>
                <w:szCs w:val="18"/>
              </w:rPr>
            </w:pPr>
            <w:r>
              <w:rPr>
                <w:rFonts w:ascii="Gill Sans MT Condensed"/>
                <w:spacing w:val="-1"/>
                <w:sz w:val="18"/>
              </w:rPr>
              <w:t>0.028</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Gill Sans MT Condensed" w:hAnsi="Gill Sans MT Condensed" w:cs="Gill Sans MT Condensed" w:eastAsia="Gill Sans MT Condensed" w:hint="default"/>
                <w:sz w:val="18"/>
                <w:szCs w:val="18"/>
              </w:rPr>
            </w:pPr>
            <w:r>
              <w:rPr>
                <w:rFonts w:ascii="Gill Sans MT Condensed"/>
                <w:spacing w:val="-1"/>
                <w:sz w:val="18"/>
              </w:rPr>
              <w:t>9,706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Gill Sans MT Condensed" w:hAnsi="Gill Sans MT Condensed" w:cs="Gill Sans MT Condensed" w:eastAsia="Gill Sans MT Condensed" w:hint="default"/>
                <w:sz w:val="18"/>
                <w:szCs w:val="18"/>
              </w:rPr>
            </w:pPr>
            <w:r>
              <w:rPr>
                <w:rFonts w:ascii="Gill Sans MT Condensed"/>
                <w:spacing w:val="-1"/>
                <w:sz w:val="18"/>
              </w:rPr>
              <w:t>0.001</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Gill Sans MT Condensed" w:hAnsi="Gill Sans MT Condensed" w:cs="Gill Sans MT Condensed" w:eastAsia="Gill Sans MT Condensed" w:hint="default"/>
                <w:sz w:val="18"/>
                <w:szCs w:val="18"/>
              </w:rPr>
            </w:pPr>
            <w:r>
              <w:rPr>
                <w:rFonts w:ascii="Gill Sans MT Condensed"/>
                <w:spacing w:val="-1"/>
                <w:sz w:val="18"/>
              </w:rPr>
              <w:t>9,706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Gill Sans MT Condensed" w:hAnsi="Gill Sans MT Condensed" w:cs="Gill Sans MT Condensed" w:eastAsia="Gill Sans MT Condensed" w:hint="default"/>
                <w:sz w:val="18"/>
                <w:szCs w:val="18"/>
              </w:rPr>
            </w:pPr>
            <w:r>
              <w:rPr>
                <w:rFonts w:ascii="Gill Sans MT Condensed"/>
                <w:spacing w:val="-1"/>
                <w:sz w:val="18"/>
              </w:rPr>
              <w:t>0.001</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445,338,490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71.618</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621,643,712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99.971</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445,338,490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71.618</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176,305,222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621,643,712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99.971</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621,826,786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Gill Sans MT Condensed" w:hAnsi="Gill Sans MT Condensed" w:cs="Gill Sans MT Condensed" w:eastAsia="Gill Sans MT Condensed" w:hint="default"/>
                <w:sz w:val="18"/>
                <w:szCs w:val="18"/>
              </w:rPr>
            </w:pPr>
            <w:r>
              <w:rPr>
                <w:rFonts w:ascii="Gill Sans MT Condensed"/>
                <w:spacing w:val="-1"/>
                <w:sz w:val="18"/>
              </w:rPr>
              <w:t>621,826,786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Gill Sans MT Condensed" w:hAnsi="Gill Sans MT Condensed" w:cs="Gill Sans MT Condensed" w:eastAsia="Gill Sans MT Condensed" w:hint="default"/>
                <w:sz w:val="18"/>
                <w:szCs w:val="18"/>
              </w:rPr>
            </w:pPr>
            <w:r>
              <w:rPr>
                <w:rFonts w:ascii="Gill Sans MT Condensed"/>
                <w:spacing w:val="-1"/>
                <w:sz w:val="18"/>
              </w:rPr>
              <w:t>100.00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26、资本公积</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66"/>
          <w:pgSz w:w="11910" w:h="16840"/>
          <w:pgMar w:footer="1219" w:header="884" w:top="1140" w:bottom="1400" w:left="1320" w:right="1100"/>
        </w:sectPr>
      </w:pPr>
    </w:p>
    <w:p>
      <w:pPr>
        <w:spacing w:line="240" w:lineRule="auto" w:before="0"/>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2712"/>
        <w:gridCol w:w="1922"/>
        <w:gridCol w:w="1229"/>
        <w:gridCol w:w="1188"/>
        <w:gridCol w:w="2162"/>
      </w:tblGrid>
      <w:tr>
        <w:trPr>
          <w:trHeight w:val="350"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23"/>
              <w:jc w:val="right"/>
              <w:rPr>
                <w:rFonts w:ascii="宋体" w:hAnsi="宋体" w:cs="宋体" w:eastAsia="宋体" w:hint="default"/>
                <w:sz w:val="18"/>
                <w:szCs w:val="18"/>
              </w:rPr>
            </w:pPr>
            <w:bookmarkStart w:name="（1）主营业务（分业务） " w:id="4"/>
            <w:bookmarkEnd w:id="4"/>
            <w:r>
              <w:rPr/>
            </w: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1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0"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资本溢价</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973,812,021.74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973,812,021.74</w:t>
            </w:r>
          </w:p>
        </w:tc>
      </w:tr>
      <w:tr>
        <w:trPr>
          <w:trHeight w:val="350"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130,805,985.88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130,805,985.88</w:t>
            </w:r>
          </w:p>
        </w:tc>
      </w:tr>
      <w:tr>
        <w:trPr>
          <w:trHeight w:val="350" w:hRule="exact"/>
        </w:trPr>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69"/>
              <w:jc w:val="righ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1,104,618,007.62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1,104,618,007.62</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27、盈余公积</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482"/>
        <w:gridCol w:w="1757"/>
        <w:gridCol w:w="1582"/>
        <w:gridCol w:w="1786"/>
        <w:gridCol w:w="1608"/>
      </w:tblGrid>
      <w:tr>
        <w:trPr>
          <w:trHeight w:val="350"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8"/>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8"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sz w:val="18"/>
              </w:rPr>
              <w:t>89,393,650.22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6"/>
              <w:jc w:val="right"/>
              <w:rPr>
                <w:rFonts w:ascii="宋体" w:hAnsi="宋体" w:cs="宋体" w:eastAsia="宋体" w:hint="default"/>
                <w:sz w:val="18"/>
                <w:szCs w:val="18"/>
              </w:rPr>
            </w:pPr>
            <w:r>
              <w:rPr>
                <w:rFonts w:ascii="宋体"/>
                <w:sz w:val="18"/>
              </w:rPr>
              <w:t>89,393,650.22</w:t>
            </w:r>
          </w:p>
        </w:tc>
      </w:tr>
      <w:tr>
        <w:trPr>
          <w:trHeight w:val="350"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5"/>
              <w:jc w:val="right"/>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sz w:val="18"/>
              </w:rPr>
              <w:t>89,393,650.22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6"/>
              <w:jc w:val="right"/>
              <w:rPr>
                <w:rFonts w:ascii="宋体" w:hAnsi="宋体" w:cs="宋体" w:eastAsia="宋体" w:hint="default"/>
                <w:sz w:val="18"/>
                <w:szCs w:val="18"/>
              </w:rPr>
            </w:pPr>
            <w:r>
              <w:rPr>
                <w:rFonts w:ascii="宋体"/>
                <w:sz w:val="18"/>
              </w:rPr>
              <w:t>89,393,650.22</w:t>
            </w:r>
          </w:p>
        </w:tc>
      </w:tr>
    </w:tbl>
    <w:p>
      <w:pPr>
        <w:pStyle w:val="BodyText"/>
        <w:spacing w:line="273" w:lineRule="auto" w:before="50"/>
        <w:ind w:left="153" w:right="303" w:firstLine="420"/>
        <w:jc w:val="left"/>
      </w:pPr>
      <w:r>
        <w:rPr/>
        <w:t>注：根据公司法、章程的规定，本公司按净利润的</w:t>
      </w:r>
      <w:r>
        <w:rPr>
          <w:spacing w:val="-21"/>
        </w:rPr>
        <w:t> </w:t>
      </w:r>
      <w:r>
        <w:rPr/>
        <w:t>10%提取法定盈余公积金。法定盈余公积累</w:t>
      </w:r>
      <w:r>
        <w:rPr>
          <w:w w:val="100"/>
        </w:rPr>
        <w:t> </w:t>
      </w:r>
      <w:r>
        <w:rPr/>
        <w:t>计额为本公司注册资本</w:t>
      </w:r>
      <w:r>
        <w:rPr>
          <w:spacing w:val="-60"/>
        </w:rPr>
        <w:t> </w:t>
      </w:r>
      <w:r>
        <w:rPr/>
        <w:t>50%以上的，可不再提取。</w:t>
      </w:r>
    </w:p>
    <w:p>
      <w:pPr>
        <w:spacing w:before="164"/>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28、未分配利润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4253"/>
        <w:gridCol w:w="2410"/>
        <w:gridCol w:w="2551"/>
      </w:tblGrid>
      <w:tr>
        <w:trPr>
          <w:trHeight w:val="34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638,994,670.57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438,445,838.09</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调整期初未分配利润合计数（调增+，调减-）</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638,994,670.57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438,445,838.09</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加：本期归属于母公司股东的净利润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228,581,216.75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219,954,137.88</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3,859,635.77</w:t>
            </w:r>
          </w:p>
        </w:tc>
      </w:tr>
      <w:tr>
        <w:trPr>
          <w:trHeight w:val="34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22,385,764.29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15,545,669.63</w:t>
            </w: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845,190,123.03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638,994,670.57</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29、营业收入和营业成本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637"/>
        <w:gridCol w:w="1879"/>
        <w:gridCol w:w="1788"/>
        <w:gridCol w:w="1963"/>
        <w:gridCol w:w="1946"/>
      </w:tblGrid>
      <w:tr>
        <w:trPr>
          <w:trHeight w:val="370" w:hRule="exact"/>
        </w:trPr>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0" w:hRule="exact"/>
        </w:trPr>
        <w:tc>
          <w:tcPr>
            <w:tcW w:w="1637" w:type="dxa"/>
            <w:vMerge/>
            <w:tcBorders>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7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2,107,134,275.95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1,590,969,017.84</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1,813,876,265.32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1,364,855,115.36</w:t>
            </w:r>
          </w:p>
        </w:tc>
      </w:tr>
      <w:tr>
        <w:trPr>
          <w:trHeight w:val="37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250,811.66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59,455.37</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宋体" w:hAnsi="宋体" w:cs="宋体" w:eastAsia="宋体" w:hint="default"/>
                <w:sz w:val="18"/>
                <w:szCs w:val="18"/>
              </w:rPr>
            </w:pPr>
            <w:r>
              <w:rPr>
                <w:rFonts w:ascii="宋体"/>
                <w:sz w:val="18"/>
              </w:rPr>
              <w:t>781,789.16</w:t>
            </w:r>
          </w:p>
        </w:tc>
        <w:tc>
          <w:tcPr>
            <w:tcW w:w="194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2,107,385,087.61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1,591,028,473.21</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18"/>
                <w:szCs w:val="18"/>
              </w:rPr>
            </w:pPr>
            <w:r>
              <w:rPr>
                <w:rFonts w:ascii="宋体"/>
                <w:sz w:val="18"/>
              </w:rPr>
              <w:t>1,814,658,054.48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1,364,855,115.36</w:t>
            </w:r>
          </w:p>
        </w:tc>
      </w:tr>
    </w:tbl>
    <w:p>
      <w:pPr>
        <w:pStyle w:val="BodyText"/>
        <w:spacing w:line="240" w:lineRule="auto" w:before="59"/>
        <w:ind w:right="0"/>
        <w:jc w:val="left"/>
      </w:pPr>
      <w:r>
        <w:rPr/>
        <w:t>（1）主营业务（分业务）</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43"/>
        <w:gridCol w:w="1843"/>
        <w:gridCol w:w="1920"/>
        <w:gridCol w:w="1764"/>
        <w:gridCol w:w="1843"/>
      </w:tblGrid>
      <w:tr>
        <w:trPr>
          <w:trHeight w:val="350"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业务名称</w:t>
            </w:r>
            <w:r>
              <w:rPr>
                <w:rFonts w:ascii="宋体" w:hAnsi="宋体" w:cs="宋体" w:eastAsia="宋体" w:hint="default"/>
                <w:sz w:val="18"/>
                <w:szCs w:val="18"/>
              </w:rPr>
            </w:r>
          </w:p>
        </w:tc>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6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1843"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footerReference w:type="default" r:id="rId67"/>
          <w:pgSz w:w="11910" w:h="16840"/>
          <w:pgMar w:footer="1219" w:header="884" w:top="1140" w:bottom="1400" w:left="1320" w:right="1100"/>
          <w:pgNumType w:start="111"/>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843"/>
        <w:gridCol w:w="1843"/>
        <w:gridCol w:w="1920"/>
        <w:gridCol w:w="1764"/>
        <w:gridCol w:w="1843"/>
      </w:tblGrid>
      <w:tr>
        <w:trPr>
          <w:trHeight w:val="350"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业务名称</w:t>
            </w:r>
            <w:r>
              <w:rPr>
                <w:rFonts w:ascii="宋体" w:hAnsi="宋体" w:cs="宋体" w:eastAsia="宋体" w:hint="default"/>
                <w:sz w:val="18"/>
                <w:szCs w:val="18"/>
              </w:rPr>
            </w:r>
          </w:p>
        </w:tc>
        <w:tc>
          <w:tcPr>
            <w:tcW w:w="3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6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1843"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主营业务（分地区） " w:id="5"/>
            <w:bookmarkEnd w:id="5"/>
            <w:r>
              <w:rPr/>
            </w:r>
            <w:r>
              <w:rPr>
                <w:rFonts w:ascii="宋体" w:hAnsi="宋体" w:cs="宋体" w:eastAsia="宋体" w:hint="default"/>
                <w:sz w:val="18"/>
                <w:szCs w:val="18"/>
              </w:rPr>
              <w:t>行业短信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z w:val="18"/>
              </w:rPr>
              <w:t>497,892,710.14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342,928,839.23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486,413,750.43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335,215,881.89</w:t>
            </w:r>
          </w:p>
        </w:tc>
      </w:tr>
      <w:tr>
        <w:trPr>
          <w:trHeight w:val="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电信分成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宋体" w:hAnsi="宋体" w:cs="宋体" w:eastAsia="宋体" w:hint="default"/>
                <w:sz w:val="18"/>
                <w:szCs w:val="18"/>
              </w:rPr>
            </w:pPr>
            <w:r>
              <w:rPr>
                <w:rFonts w:ascii="宋体"/>
                <w:sz w:val="18"/>
              </w:rPr>
              <w:t>40,180,646.77</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32,912,962.52</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宋体" w:hAnsi="宋体" w:cs="宋体" w:eastAsia="宋体" w:hint="default"/>
                <w:sz w:val="18"/>
                <w:szCs w:val="18"/>
              </w:rPr>
            </w:pPr>
            <w:r>
              <w:rPr>
                <w:rFonts w:ascii="宋体"/>
                <w:sz w:val="18"/>
              </w:rPr>
              <w:t>97,522,827.81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60,112,051.51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71,331,802.94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47,156,853.68</w:t>
            </w:r>
          </w:p>
        </w:tc>
      </w:tr>
      <w:tr>
        <w:trPr>
          <w:trHeight w:val="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维护服务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宋体" w:hAnsi="宋体" w:cs="宋体" w:eastAsia="宋体" w:hint="default"/>
                <w:sz w:val="18"/>
                <w:szCs w:val="18"/>
              </w:rPr>
            </w:pPr>
            <w:r>
              <w:rPr>
                <w:rFonts w:ascii="宋体"/>
                <w:sz w:val="18"/>
              </w:rPr>
              <w:t>1,357,197,126.51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z w:val="18"/>
              </w:rPr>
              <w:t>1,105,624,889.67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z w:val="18"/>
              </w:rPr>
              <w:t>1,202,829,968.44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962,248,420.92</w:t>
            </w:r>
          </w:p>
        </w:tc>
      </w:tr>
      <w:tr>
        <w:trPr>
          <w:trHeight w:val="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宋体" w:hAnsi="宋体" w:cs="宋体" w:eastAsia="宋体" w:hint="default"/>
                <w:sz w:val="18"/>
                <w:szCs w:val="18"/>
              </w:rPr>
            </w:pPr>
            <w:r>
              <w:rPr>
                <w:rFonts w:ascii="宋体"/>
                <w:sz w:val="18"/>
              </w:rPr>
              <w:t>46,960,471.90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34,204,404.97</w:t>
            </w:r>
          </w:p>
        </w:tc>
        <w:tc>
          <w:tcPr>
            <w:tcW w:w="176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流量收入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宋体" w:hAnsi="宋体" w:cs="宋体" w:eastAsia="宋体" w:hint="default"/>
                <w:sz w:val="18"/>
                <w:szCs w:val="18"/>
              </w:rPr>
            </w:pPr>
            <w:r>
              <w:rPr>
                <w:rFonts w:ascii="宋体"/>
                <w:sz w:val="18"/>
              </w:rPr>
              <w:t>67,380,492.82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66,098,832.46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20,387,780.99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20,233,958.87</w:t>
            </w:r>
          </w:p>
        </w:tc>
      </w:tr>
      <w:tr>
        <w:trPr>
          <w:trHeight w:val="4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7"/>
              <w:jc w:val="right"/>
              <w:rPr>
                <w:rFonts w:ascii="宋体" w:hAnsi="宋体" w:cs="宋体" w:eastAsia="宋体" w:hint="default"/>
                <w:sz w:val="18"/>
                <w:szCs w:val="18"/>
              </w:rPr>
            </w:pPr>
            <w:r>
              <w:rPr>
                <w:rFonts w:ascii="宋体"/>
                <w:sz w:val="18"/>
              </w:rPr>
              <w:t>2,107,134,275.95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1,608,969,017.84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1,813,876,265.32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1,364,855,115.36</w:t>
            </w:r>
          </w:p>
        </w:tc>
      </w:tr>
    </w:tbl>
    <w:p>
      <w:pPr>
        <w:pStyle w:val="BodyText"/>
        <w:spacing w:line="240" w:lineRule="auto" w:before="59"/>
        <w:ind w:right="0"/>
        <w:jc w:val="left"/>
      </w:pPr>
      <w:r>
        <w:rPr/>
        <w:t>（2）主营业务（分地区）</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43"/>
        <w:gridCol w:w="1853"/>
        <w:gridCol w:w="1834"/>
        <w:gridCol w:w="1841"/>
        <w:gridCol w:w="1843"/>
      </w:tblGrid>
      <w:tr>
        <w:trPr>
          <w:trHeight w:val="370"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2" w:hRule="exact"/>
        </w:trPr>
        <w:tc>
          <w:tcPr>
            <w:tcW w:w="1843" w:type="dxa"/>
            <w:vMerge/>
            <w:tcBorders>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74,829,642.88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61,947,149.83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60,696,184.09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51,679,749.09</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702,976,677.54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469,139,723.20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611,046,296.88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402,606,694.44</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601,123,089.93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479,939,110.53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420,429,259.70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351,063,644.44</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133,201,182.86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89,545,505.36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174,882,010.80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120,826,154.38</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34,779,303.81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30,671,926.50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23,118,479.76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19,483,829.11</w:t>
            </w:r>
          </w:p>
        </w:tc>
      </w:tr>
      <w:tr>
        <w:trPr>
          <w:trHeight w:val="37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38,875,321.61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32,647,396.80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36,060,645.44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30,669,336.11</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120,324,285.01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104,596,257.22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78,567,102.23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64,611,189.03</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32,989,770.46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28,182,366.21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58,451,937.87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47,043,793.33</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63,885,921.04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54,103,215.01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44,303,087.97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36,684,295.61</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四川省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50,322,569.86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48,711,521.62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37,077,890.88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23,437,898.05</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49,460,873.81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z w:val="18"/>
              </w:rPr>
              <w:t>37,933,478.37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47,717,038.34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38,552,475.17</w:t>
            </w:r>
          </w:p>
        </w:tc>
      </w:tr>
      <w:tr>
        <w:trPr>
          <w:trHeight w:val="37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其他省份</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宋体" w:hAnsi="宋体" w:cs="宋体" w:eastAsia="宋体" w:hint="default"/>
                <w:sz w:val="18"/>
                <w:szCs w:val="18"/>
              </w:rPr>
            </w:pPr>
            <w:r>
              <w:rPr>
                <w:rFonts w:ascii="宋体"/>
                <w:sz w:val="18"/>
              </w:rPr>
              <w:t>204,365,637.14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171,551,367.19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宋体" w:hAnsi="宋体" w:cs="宋体" w:eastAsia="宋体" w:hint="default"/>
                <w:sz w:val="18"/>
                <w:szCs w:val="18"/>
              </w:rPr>
            </w:pPr>
            <w:r>
              <w:rPr>
                <w:rFonts w:ascii="宋体"/>
                <w:sz w:val="18"/>
              </w:rPr>
              <w:t>221,526,331.36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宋体" w:hAnsi="宋体" w:cs="宋体" w:eastAsia="宋体" w:hint="default"/>
                <w:sz w:val="18"/>
                <w:szCs w:val="18"/>
              </w:rPr>
            </w:pPr>
            <w:r>
              <w:rPr>
                <w:rFonts w:ascii="宋体"/>
                <w:sz w:val="18"/>
              </w:rPr>
              <w:t>178,196,056.60</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2,107,134,275.95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1,608,969,017.84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1,813,876,265.32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1,364,855,115.36</w:t>
            </w:r>
          </w:p>
        </w:tc>
      </w:tr>
    </w:tbl>
    <w:p>
      <w:pPr>
        <w:spacing w:line="240" w:lineRule="auto" w:before="2"/>
        <w:rPr>
          <w:rFonts w:ascii="宋体" w:hAnsi="宋体" w:cs="宋体" w:eastAsia="宋体" w:hint="default"/>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30、税金及附加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120"/>
        <w:gridCol w:w="2976"/>
        <w:gridCol w:w="3118"/>
      </w:tblGrid>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27"/>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679,252.42</w:t>
            </w:r>
          </w:p>
        </w:tc>
      </w:tr>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4,568,089.94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4,581,615.63</w:t>
            </w:r>
          </w:p>
        </w:tc>
      </w:tr>
      <w:tr>
        <w:trPr>
          <w:trHeight w:val="37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宋体" w:hAnsi="宋体" w:cs="宋体" w:eastAsia="宋体" w:hint="default"/>
                <w:sz w:val="18"/>
                <w:szCs w:val="18"/>
              </w:rPr>
            </w:pPr>
            <w:r>
              <w:rPr>
                <w:rFonts w:ascii="宋体"/>
                <w:sz w:val="18"/>
              </w:rPr>
              <w:t>3,372,339.52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宋体" w:hAnsi="宋体" w:cs="宋体" w:eastAsia="宋体" w:hint="default"/>
                <w:sz w:val="18"/>
                <w:szCs w:val="18"/>
              </w:rPr>
            </w:pPr>
            <w:r>
              <w:rPr>
                <w:rFonts w:ascii="宋体"/>
                <w:sz w:val="18"/>
              </w:rPr>
              <w:t>3,277,377.37</w:t>
            </w:r>
          </w:p>
        </w:tc>
      </w:tr>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76.50</w:t>
            </w:r>
          </w:p>
        </w:tc>
      </w:tr>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700.00</w:t>
            </w:r>
          </w:p>
        </w:tc>
      </w:tr>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533,414.11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534,874.41</w:t>
            </w:r>
          </w:p>
        </w:tc>
      </w:tr>
      <w:tr>
        <w:trPr>
          <w:trHeight w:val="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宋体" w:hAnsi="宋体" w:cs="宋体" w:eastAsia="宋体" w:hint="default"/>
                <w:sz w:val="18"/>
                <w:szCs w:val="18"/>
              </w:rPr>
            </w:pPr>
            <w:r>
              <w:rPr>
                <w:rFonts w:ascii="宋体"/>
                <w:sz w:val="18"/>
              </w:rPr>
              <w:t>8,473,843.57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
              <w:jc w:val="right"/>
              <w:rPr>
                <w:rFonts w:ascii="宋体" w:hAnsi="宋体" w:cs="宋体" w:eastAsia="宋体" w:hint="default"/>
                <w:sz w:val="18"/>
                <w:szCs w:val="18"/>
              </w:rPr>
            </w:pPr>
            <w:r>
              <w:rPr>
                <w:rFonts w:ascii="宋体"/>
                <w:sz w:val="18"/>
              </w:rPr>
              <w:t>9,073,896.33</w:t>
            </w:r>
          </w:p>
        </w:tc>
      </w:tr>
    </w:tbl>
    <w:p>
      <w:pPr>
        <w:pStyle w:val="BodyText"/>
        <w:spacing w:line="240" w:lineRule="auto" w:before="81"/>
        <w:ind w:right="0"/>
        <w:jc w:val="left"/>
      </w:pPr>
      <w:r>
        <w:rPr/>
        <w:t>注：各项税金及附加的计缴标准详见附注五、税项。</w:t>
      </w:r>
    </w:p>
    <w:p>
      <w:pPr>
        <w:spacing w:after="0" w:line="240" w:lineRule="auto"/>
        <w:jc w:val="left"/>
        <w:sectPr>
          <w:pgSz w:w="11910" w:h="16840"/>
          <w:pgMar w:header="884" w:footer="1219" w:top="1140" w:bottom="1400" w:left="1320" w:right="1100"/>
        </w:sectPr>
      </w:pPr>
    </w:p>
    <w:p>
      <w:pPr>
        <w:spacing w:before="131"/>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31、销售费用</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120"/>
        <w:gridCol w:w="2976"/>
        <w:gridCol w:w="3118"/>
      </w:tblGrid>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8,017,200.77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7,398,930.42</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18,844.21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5,007.93</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办公及其他费用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2,026,295.25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2,286,350.86</w:t>
            </w:r>
          </w:p>
        </w:tc>
      </w:tr>
      <w:tr>
        <w:trPr>
          <w:trHeight w:val="34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客户开拓及促销等费用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18,252,027.49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17,115,317.27</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3,261,798.25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2,617,173.27</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48,671.71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454,245.23</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31,624,837.68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29,877,024.98</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32、管理费用</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120"/>
        <w:gridCol w:w="2976"/>
        <w:gridCol w:w="3118"/>
      </w:tblGrid>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99,224,711.10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88,928,772.15</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869,558.30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327,319.17</w:t>
            </w:r>
          </w:p>
        </w:tc>
      </w:tr>
      <w:tr>
        <w:trPr>
          <w:trHeight w:val="34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1,307,655.30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2,211,725.19</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7,166,553.52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5,752,131.63</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办公、差旅、招待及租赁费等</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28,154,932.83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22,821,325.32</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水电气费</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658,528.36</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3,617,844.37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4,072,973.06</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399,873.02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375,930.78</w:t>
            </w:r>
          </w:p>
        </w:tc>
      </w:tr>
      <w:tr>
        <w:trPr>
          <w:trHeight w:val="34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8,158,084.09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8,250,918.19</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717,871.38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644,090.17</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36,475,851.60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42,267,620.00</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3,331,994.57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1,424,934.01</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189,424,930.08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177,736,268.03</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33、财务费用</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228"/>
        <w:gridCol w:w="2868"/>
        <w:gridCol w:w="3118"/>
      </w:tblGrid>
      <w:tr>
        <w:trPr>
          <w:trHeight w:val="35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80"/>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537,019.56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2,909,631.65</w:t>
            </w:r>
          </w:p>
        </w:tc>
      </w:tr>
      <w:tr>
        <w:trPr>
          <w:trHeight w:val="348"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5,659,470.60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4,602,255.21</w:t>
            </w:r>
          </w:p>
        </w:tc>
      </w:tr>
      <w:tr>
        <w:trPr>
          <w:trHeight w:val="35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842,610.68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535,272.02</w:t>
            </w:r>
          </w:p>
        </w:tc>
      </w:tr>
      <w:tr>
        <w:trPr>
          <w:trHeight w:val="35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27"/>
              <w:jc w:val="right"/>
              <w:rPr>
                <w:rFonts w:ascii="宋体" w:hAnsi="宋体" w:cs="宋体" w:eastAsia="宋体" w:hint="default"/>
                <w:sz w:val="18"/>
                <w:szCs w:val="18"/>
              </w:rPr>
            </w:pPr>
            <w:r>
              <w:rPr>
                <w:rFonts w:ascii="宋体" w:hAnsi="宋体" w:cs="宋体" w:eastAsia="宋体" w:hint="default"/>
                <w:sz w:val="18"/>
                <w:szCs w:val="18"/>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-4,279,840.36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-1,157,351.54</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34、资产减值损失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199"/>
        <w:gridCol w:w="2897"/>
        <w:gridCol w:w="3118"/>
      </w:tblGrid>
      <w:tr>
        <w:trPr>
          <w:trHeight w:val="322" w:hRule="exact"/>
        </w:trPr>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4" w:hRule="exact"/>
        </w:trPr>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16,324,983.48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-16,508,396.98</w:t>
            </w:r>
          </w:p>
        </w:tc>
      </w:tr>
      <w:tr>
        <w:trPr>
          <w:trHeight w:val="322" w:hRule="exact"/>
        </w:trPr>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11"/>
              <w:jc w:val="right"/>
              <w:rPr>
                <w:rFonts w:ascii="宋体" w:hAnsi="宋体" w:cs="宋体" w:eastAsia="宋体" w:hint="default"/>
                <w:sz w:val="18"/>
                <w:szCs w:val="18"/>
              </w:rPr>
            </w:pPr>
            <w:r>
              <w:rPr>
                <w:rFonts w:ascii="宋体" w:hAnsi="宋体" w:cs="宋体" w:eastAsia="宋体" w:hint="default"/>
                <w:sz w:val="18"/>
                <w:szCs w:val="18"/>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16,324,983.48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-16,508,396.98</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35、投资收益</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262"/>
        <w:gridCol w:w="2976"/>
        <w:gridCol w:w="2976"/>
      </w:tblGrid>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104,182.24</w:t>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219" w:top="1140" w:bottom="1400" w:left="1320" w:right="1100"/>
        </w:sectPr>
      </w:pPr>
    </w:p>
    <w:p>
      <w:pPr>
        <w:spacing w:line="240" w:lineRule="auto" w:before="0"/>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3262"/>
        <w:gridCol w:w="2976"/>
        <w:gridCol w:w="2976"/>
      </w:tblGrid>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的金融资产在持有期间的投资收益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2,601,992.06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1,184,079.56</w:t>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2,706,174.30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1,184,079.56</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36、资产处置损益</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262"/>
        <w:gridCol w:w="1702"/>
        <w:gridCol w:w="1558"/>
        <w:gridCol w:w="2693"/>
      </w:tblGrid>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出售持有待售资产的收益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154,215.34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-245,657.82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154,215.34</w:t>
            </w:r>
          </w:p>
        </w:tc>
      </w:tr>
      <w:tr>
        <w:trPr>
          <w:trHeight w:val="34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154,215.34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-245,657.82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154,215.34</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在建工程处置收益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生产性生物资产处置收益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154,215.34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-245,657.82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154,215.34</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37、营业外收入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262"/>
        <w:gridCol w:w="1702"/>
        <w:gridCol w:w="1558"/>
        <w:gridCol w:w="2693"/>
      </w:tblGrid>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4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宋体" w:hAnsi="宋体" w:cs="宋体" w:eastAsia="宋体" w:hint="default"/>
                <w:sz w:val="18"/>
                <w:szCs w:val="18"/>
              </w:rPr>
            </w:pPr>
            <w:r>
              <w:rPr>
                <w:rFonts w:ascii="宋体"/>
                <w:sz w:val="18"/>
              </w:rPr>
              <w:t>2,967.00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2,967.00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6,837,717.00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9,043,335.70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6,837,717.00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971,255.55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1,051,609.12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971,255.55</w:t>
            </w:r>
          </w:p>
        </w:tc>
      </w:tr>
      <w:tr>
        <w:trPr>
          <w:trHeight w:val="3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7,808,972.55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10,097,911.82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7,808,972.55</w:t>
            </w:r>
          </w:p>
        </w:tc>
      </w:tr>
    </w:tbl>
    <w:p>
      <w:pPr>
        <w:pStyle w:val="BodyText"/>
        <w:spacing w:line="240" w:lineRule="auto" w:before="59"/>
        <w:ind w:right="0"/>
        <w:jc w:val="left"/>
      </w:pPr>
      <w:r>
        <w:rPr/>
        <w:t>其中，政府补助明细如下：</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34"/>
        <w:gridCol w:w="1985"/>
        <w:gridCol w:w="1985"/>
        <w:gridCol w:w="2410"/>
      </w:tblGrid>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2" w:right="0"/>
              <w:jc w:val="left"/>
              <w:rPr>
                <w:rFonts w:ascii="宋体" w:hAnsi="宋体" w:cs="宋体" w:eastAsia="宋体" w:hint="default"/>
                <w:sz w:val="18"/>
                <w:szCs w:val="18"/>
              </w:rPr>
            </w:pPr>
            <w:r>
              <w:rPr>
                <w:rFonts w:ascii="宋体" w:hAnsi="宋体" w:cs="宋体" w:eastAsia="宋体" w:hint="default"/>
                <w:b/>
                <w:bCs/>
                <w:sz w:val="18"/>
                <w:szCs w:val="18"/>
              </w:rPr>
              <w:t>与资产相关/与收益相关</w:t>
            </w:r>
            <w:r>
              <w:rPr>
                <w:rFonts w:ascii="宋体" w:hAnsi="宋体" w:cs="宋体" w:eastAsia="宋体" w:hint="default"/>
                <w:sz w:val="18"/>
                <w:szCs w:val="18"/>
              </w:rPr>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总部企业奖励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5,096,138.04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6,810,237.41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515,178.96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249,898.29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生产扶持资金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1,226,400.00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1,983,200.00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6,837,717.00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9,043,335.70</w:t>
            </w: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38、营业外支出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834"/>
        <w:gridCol w:w="1843"/>
        <w:gridCol w:w="1843"/>
        <w:gridCol w:w="2693"/>
      </w:tblGrid>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237,873.16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619,002.92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z w:val="18"/>
              </w:rPr>
              <w:t>237,873.16</w:t>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1,605,000.00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z w:val="18"/>
              </w:rPr>
              <w:t>1,605,000.00</w:t>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3,836,008.69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3,223,641.02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z w:val="18"/>
              </w:rPr>
              <w:t>3,836,008.69</w:t>
            </w:r>
          </w:p>
        </w:tc>
      </w:tr>
      <w:tr>
        <w:trPr>
          <w:trHeight w:val="3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5,678,881.85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3,892,643.94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z w:val="18"/>
              </w:rPr>
              <w:t>5,678,881.85</w:t>
            </w:r>
          </w:p>
        </w:tc>
      </w:tr>
    </w:tbl>
    <w:p>
      <w:pPr>
        <w:spacing w:line="240" w:lineRule="auto" w:before="2"/>
        <w:rPr>
          <w:rFonts w:ascii="宋体" w:hAnsi="宋体" w:cs="宋体" w:eastAsia="宋体" w:hint="default"/>
          <w:b/>
          <w:bCs/>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39、所得税费用</w:t>
      </w:r>
      <w:r>
        <w:rPr>
          <w:rFonts w:ascii="宋体" w:hAnsi="宋体" w:cs="宋体" w:eastAsia="宋体" w:hint="default"/>
          <w:sz w:val="21"/>
          <w:szCs w:val="21"/>
        </w:rPr>
      </w:r>
    </w:p>
    <w:p>
      <w:pPr>
        <w:pStyle w:val="BodyText"/>
        <w:spacing w:line="240" w:lineRule="auto" w:before="37"/>
        <w:ind w:right="0"/>
        <w:jc w:val="left"/>
      </w:pPr>
      <w:r>
        <w:rPr/>
        <w:t>（1）所得税费用表</w:t>
      </w:r>
    </w:p>
    <w:p>
      <w:pPr>
        <w:spacing w:after="0" w:line="240" w:lineRule="auto"/>
        <w:jc w:val="left"/>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111"/>
        <w:gridCol w:w="2551"/>
        <w:gridCol w:w="2551"/>
      </w:tblGrid>
      <w:tr>
        <w:trPr>
          <w:trHeight w:val="35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21"/>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36,061,689.60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
              <w:jc w:val="right"/>
              <w:rPr>
                <w:rFonts w:ascii="宋体" w:hAnsi="宋体" w:cs="宋体" w:eastAsia="宋体" w:hint="default"/>
                <w:sz w:val="18"/>
                <w:szCs w:val="18"/>
              </w:rPr>
            </w:pPr>
            <w:r>
              <w:rPr>
                <w:rFonts w:ascii="宋体"/>
                <w:sz w:val="18"/>
              </w:rPr>
              <w:t>31,278,982.35</w:t>
            </w:r>
          </w:p>
        </w:tc>
      </w:tr>
      <w:tr>
        <w:trPr>
          <w:trHeight w:val="35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-2,864,566.06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6"/>
              <w:jc w:val="right"/>
              <w:rPr>
                <w:rFonts w:ascii="宋体" w:hAnsi="宋体" w:cs="宋体" w:eastAsia="宋体" w:hint="default"/>
                <w:sz w:val="18"/>
                <w:szCs w:val="18"/>
              </w:rPr>
            </w:pPr>
            <w:r>
              <w:rPr>
                <w:rFonts w:ascii="宋体"/>
                <w:sz w:val="18"/>
              </w:rPr>
              <w:t>6,692,067.69</w:t>
            </w:r>
          </w:p>
        </w:tc>
      </w:tr>
      <w:tr>
        <w:trPr>
          <w:trHeight w:val="35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67"/>
              <w:jc w:val="right"/>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33,197,123.54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37,971,050.04</w:t>
            </w:r>
          </w:p>
        </w:tc>
      </w:tr>
    </w:tbl>
    <w:p>
      <w:pPr>
        <w:pStyle w:val="BodyText"/>
        <w:spacing w:line="240" w:lineRule="auto" w:before="81"/>
        <w:ind w:right="0"/>
        <w:jc w:val="left"/>
      </w:pPr>
      <w:r>
        <w:rPr/>
        <w:t>（2）会计利润与所得税费用调整过程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6379"/>
        <w:gridCol w:w="2834"/>
      </w:tblGrid>
      <w:tr>
        <w:trPr>
          <w:trHeight w:val="348"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宋体" w:hAnsi="宋体" w:cs="宋体" w:eastAsia="宋体" w:hint="default"/>
                <w:sz w:val="18"/>
                <w:szCs w:val="18"/>
              </w:rPr>
            </w:pPr>
            <w:r>
              <w:rPr>
                <w:rFonts w:ascii="宋体"/>
                <w:sz w:val="18"/>
              </w:rPr>
              <w:t>261,778,340.29</w:t>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3"/>
              <w:jc w:val="right"/>
              <w:rPr>
                <w:rFonts w:ascii="宋体" w:hAnsi="宋体" w:cs="宋体" w:eastAsia="宋体" w:hint="default"/>
                <w:sz w:val="18"/>
                <w:szCs w:val="18"/>
              </w:rPr>
            </w:pPr>
            <w:r>
              <w:rPr>
                <w:rFonts w:ascii="宋体"/>
                <w:sz w:val="18"/>
              </w:rPr>
              <w:t>65,444,585.07</w:t>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-26,514,646.22</w:t>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-1,354,614.56</w:t>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宋体" w:hAnsi="宋体" w:cs="宋体" w:eastAsia="宋体" w:hint="default"/>
                <w:sz w:val="18"/>
                <w:szCs w:val="18"/>
              </w:rPr>
            </w:pPr>
            <w:r>
              <w:rPr>
                <w:rFonts w:ascii="宋体"/>
                <w:sz w:val="18"/>
              </w:rPr>
              <w:t>3,228,819.56</w:t>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税率调整导致期初递延所得税资产/负债余额的变化</w:t>
            </w: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-4,742,454.25</w:t>
            </w:r>
          </w:p>
        </w:tc>
      </w:tr>
      <w:tr>
        <w:trPr>
          <w:trHeight w:val="350" w:hRule="exact"/>
        </w:trPr>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36,061,689.60</w:t>
            </w:r>
          </w:p>
        </w:tc>
      </w:tr>
    </w:tbl>
    <w:p>
      <w:pPr>
        <w:spacing w:line="240" w:lineRule="auto" w:before="2"/>
        <w:rPr>
          <w:rFonts w:ascii="宋体" w:hAnsi="宋体" w:cs="宋体" w:eastAsia="宋体" w:hint="default"/>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40、现金流量表项目</w:t>
      </w:r>
      <w:r>
        <w:rPr>
          <w:rFonts w:ascii="宋体" w:hAnsi="宋体" w:cs="宋体" w:eastAsia="宋体" w:hint="default"/>
          <w:sz w:val="21"/>
          <w:szCs w:val="21"/>
        </w:rPr>
      </w:r>
    </w:p>
    <w:p>
      <w:pPr>
        <w:pStyle w:val="BodyText"/>
        <w:spacing w:line="240" w:lineRule="auto" w:before="37"/>
        <w:ind w:right="0"/>
        <w:jc w:val="left"/>
      </w:pPr>
      <w:r>
        <w:rPr/>
        <w:t>（1）收到其他与经营活动有关的现金</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536"/>
        <w:gridCol w:w="2410"/>
        <w:gridCol w:w="2268"/>
      </w:tblGrid>
      <w:tr>
        <w:trPr>
          <w:trHeight w:val="35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74,394,935.19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139,729,405.48</w:t>
            </w:r>
          </w:p>
        </w:tc>
      </w:tr>
      <w:tr>
        <w:trPr>
          <w:trHeight w:val="35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代收代缴手续费返还及政府补贴收入等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7,943,724.32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12,998,944.81</w:t>
            </w:r>
          </w:p>
        </w:tc>
      </w:tr>
      <w:tr>
        <w:trPr>
          <w:trHeight w:val="35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宋体" w:hAnsi="宋体" w:cs="宋体" w:eastAsia="宋体" w:hint="default"/>
                <w:sz w:val="18"/>
                <w:szCs w:val="18"/>
              </w:rPr>
            </w:pPr>
            <w:r>
              <w:rPr>
                <w:rFonts w:ascii="宋体"/>
                <w:sz w:val="18"/>
              </w:rPr>
              <w:t>6,344,111.82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6"/>
              <w:jc w:val="right"/>
              <w:rPr>
                <w:rFonts w:ascii="宋体" w:hAnsi="宋体" w:cs="宋体" w:eastAsia="宋体" w:hint="default"/>
                <w:sz w:val="18"/>
                <w:szCs w:val="18"/>
              </w:rPr>
            </w:pPr>
            <w:r>
              <w:rPr>
                <w:rFonts w:ascii="宋体"/>
                <w:sz w:val="18"/>
              </w:rPr>
              <w:t>4,598,412.58</w:t>
            </w:r>
          </w:p>
        </w:tc>
      </w:tr>
      <w:tr>
        <w:trPr>
          <w:trHeight w:val="35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88,682,771.33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157,326,762.87</w:t>
            </w:r>
          </w:p>
        </w:tc>
      </w:tr>
    </w:tbl>
    <w:p>
      <w:pPr>
        <w:pStyle w:val="BodyText"/>
        <w:spacing w:line="240" w:lineRule="auto" w:before="81"/>
        <w:ind w:right="0"/>
        <w:jc w:val="left"/>
      </w:pPr>
      <w:r>
        <w:rPr/>
        <w:t>（2）支付其他与经营活动有关的现金</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536"/>
        <w:gridCol w:w="2410"/>
        <w:gridCol w:w="2268"/>
      </w:tblGrid>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修理费、水电气费、广告费等（除工资、折旧、坏账外）</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经营及管理费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60,173,258.56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54,816,530.35</w:t>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罚款及其他营业外支出中的现金支出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676,421.13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1,668,678.13</w:t>
            </w:r>
          </w:p>
        </w:tc>
      </w:tr>
      <w:tr>
        <w:trPr>
          <w:trHeight w:val="34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单位往来款及其他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82,911,882.70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3"/>
              <w:jc w:val="right"/>
              <w:rPr>
                <w:rFonts w:ascii="宋体" w:hAnsi="宋体" w:cs="宋体" w:eastAsia="宋体" w:hint="default"/>
                <w:sz w:val="18"/>
                <w:szCs w:val="18"/>
              </w:rPr>
            </w:pPr>
            <w:r>
              <w:rPr>
                <w:rFonts w:ascii="宋体"/>
                <w:sz w:val="18"/>
              </w:rPr>
              <w:t>152,048,349.07</w:t>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143,761,562.39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z w:val="18"/>
              </w:rPr>
              <w:t>208,533,557.55</w:t>
            </w:r>
          </w:p>
        </w:tc>
      </w:tr>
    </w:tbl>
    <w:p>
      <w:pPr>
        <w:pStyle w:val="BodyText"/>
        <w:spacing w:line="240" w:lineRule="auto" w:before="81"/>
        <w:ind w:right="0"/>
        <w:jc w:val="left"/>
      </w:pPr>
      <w:r>
        <w:rPr/>
        <w:t>（3）收到其他与投资活动有关的现金</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536"/>
        <w:gridCol w:w="2410"/>
        <w:gridCol w:w="2268"/>
      </w:tblGrid>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3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理财存款收益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1,145,780.81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1,039,093.26</w:t>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理财存款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65,000,000.00</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81"/>
              <w:jc w:val="righ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66,145,780.81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1,039,093.26</w:t>
            </w:r>
          </w:p>
        </w:tc>
      </w:tr>
    </w:tbl>
    <w:p>
      <w:pPr>
        <w:pStyle w:val="BodyText"/>
        <w:spacing w:line="240" w:lineRule="auto" w:before="81"/>
        <w:ind w:right="0"/>
        <w:jc w:val="left"/>
      </w:pPr>
      <w:r>
        <w:rPr/>
        <w:t>（</w:t>
      </w:r>
      <w:r>
        <w:rPr>
          <w:rFonts w:ascii="Arial" w:hAnsi="Arial" w:cs="Arial" w:eastAsia="Arial" w:hint="default"/>
        </w:rPr>
        <w:t>4</w:t>
      </w:r>
      <w:r>
        <w:rPr/>
        <w:t>）支付其他与投资活动有关的现金</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536"/>
        <w:gridCol w:w="2410"/>
        <w:gridCol w:w="2268"/>
      </w:tblGrid>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理财存款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07" w:right="0"/>
              <w:jc w:val="left"/>
              <w:rPr>
                <w:rFonts w:ascii="宋体" w:hAnsi="宋体" w:cs="宋体" w:eastAsia="宋体" w:hint="default"/>
                <w:sz w:val="18"/>
                <w:szCs w:val="18"/>
              </w:rPr>
            </w:pPr>
            <w:r>
              <w:rPr>
                <w:rFonts w:ascii="宋体"/>
                <w:sz w:val="18"/>
              </w:rPr>
              <w:t>50,000,000.00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77" w:right="0"/>
              <w:jc w:val="left"/>
              <w:rPr>
                <w:rFonts w:ascii="宋体" w:hAnsi="宋体" w:cs="宋体" w:eastAsia="宋体" w:hint="default"/>
                <w:sz w:val="18"/>
                <w:szCs w:val="18"/>
              </w:rPr>
            </w:pPr>
            <w:r>
              <w:rPr>
                <w:rFonts w:ascii="宋体"/>
                <w:sz w:val="18"/>
              </w:rPr>
              <w:t>168,000,000.00</w:t>
            </w:r>
          </w:p>
        </w:tc>
      </w:tr>
    </w:tbl>
    <w:p>
      <w:pPr>
        <w:spacing w:after="0" w:line="240" w:lineRule="auto"/>
        <w:jc w:val="left"/>
        <w:rPr>
          <w:rFonts w:ascii="宋体" w:hAnsi="宋体" w:cs="宋体" w:eastAsia="宋体" w:hint="default"/>
          <w:sz w:val="18"/>
          <w:szCs w:val="18"/>
        </w:rPr>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536"/>
        <w:gridCol w:w="2410"/>
        <w:gridCol w:w="2268"/>
      </w:tblGrid>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07" w:right="0"/>
              <w:jc w:val="left"/>
              <w:rPr>
                <w:rFonts w:ascii="宋体" w:hAnsi="宋体" w:cs="宋体" w:eastAsia="宋体" w:hint="default"/>
                <w:sz w:val="18"/>
                <w:szCs w:val="18"/>
              </w:rPr>
            </w:pPr>
            <w:r>
              <w:rPr>
                <w:rFonts w:ascii="宋体"/>
                <w:sz w:val="18"/>
              </w:rPr>
              <w:t>50,000,000.00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77" w:right="0"/>
              <w:jc w:val="left"/>
              <w:rPr>
                <w:rFonts w:ascii="宋体" w:hAnsi="宋体" w:cs="宋体" w:eastAsia="宋体" w:hint="default"/>
                <w:sz w:val="18"/>
                <w:szCs w:val="18"/>
              </w:rPr>
            </w:pPr>
            <w:r>
              <w:rPr>
                <w:rFonts w:ascii="宋体"/>
                <w:sz w:val="18"/>
              </w:rPr>
              <w:t>168,000,000.00</w:t>
            </w:r>
          </w:p>
        </w:tc>
      </w:tr>
    </w:tbl>
    <w:p>
      <w:pPr>
        <w:pStyle w:val="BodyText"/>
        <w:spacing w:line="348" w:lineRule="auto" w:before="81"/>
        <w:ind w:right="5291"/>
        <w:jc w:val="left"/>
      </w:pPr>
      <w:r>
        <w:rPr>
          <w:spacing w:val="-2"/>
        </w:rPr>
        <w:t>（5）收到其他与筹资活动有关的现金</w:t>
      </w:r>
      <w:r>
        <w:rPr>
          <w:spacing w:val="-73"/>
        </w:rPr>
        <w:t> </w:t>
      </w:r>
      <w:r>
        <w:rPr>
          <w:spacing w:val="-73"/>
        </w:rPr>
      </w:r>
      <w:r>
        <w:rPr/>
        <w:t>无</w:t>
      </w:r>
    </w:p>
    <w:p>
      <w:pPr>
        <w:pStyle w:val="BodyText"/>
        <w:spacing w:line="345" w:lineRule="auto" w:before="38"/>
        <w:ind w:right="5291"/>
        <w:jc w:val="left"/>
      </w:pPr>
      <w:r>
        <w:rPr>
          <w:spacing w:val="-2"/>
        </w:rPr>
        <w:t>（6）支付其他与筹资活动有关的现金</w:t>
      </w:r>
      <w:r>
        <w:rPr>
          <w:spacing w:val="-73"/>
        </w:rPr>
        <w:t> </w:t>
      </w:r>
      <w:r>
        <w:rPr>
          <w:spacing w:val="-73"/>
        </w:rPr>
      </w:r>
      <w:r>
        <w:rPr/>
        <w:t>无</w:t>
      </w:r>
    </w:p>
    <w:p>
      <w:pPr>
        <w:spacing w:before="103"/>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41、现金流量表补充资料</w:t>
      </w:r>
      <w:r>
        <w:rPr>
          <w:rFonts w:ascii="宋体" w:hAnsi="宋体" w:cs="宋体" w:eastAsia="宋体" w:hint="default"/>
          <w:sz w:val="21"/>
          <w:szCs w:val="21"/>
        </w:rPr>
      </w:r>
    </w:p>
    <w:p>
      <w:pPr>
        <w:pStyle w:val="BodyText"/>
        <w:spacing w:line="240" w:lineRule="auto" w:before="37"/>
        <w:ind w:right="0"/>
        <w:jc w:val="left"/>
      </w:pPr>
      <w:r>
        <w:rPr/>
        <w:t>（1）现金流量表补充资料</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963"/>
        <w:gridCol w:w="2124"/>
        <w:gridCol w:w="2126"/>
      </w:tblGrid>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228,581,216.75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219,954,137.88</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16,324,983.48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-16,508,396.98</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22,466,325.33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17,600,630.77</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8,158,084.09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8,303,997.67</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717,871.38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999,417.84</w:t>
            </w:r>
          </w:p>
        </w:tc>
      </w:tr>
      <w:tr>
        <w:trPr>
          <w:trHeight w:val="634"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3"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z w:val="18"/>
                <w:szCs w:val="18"/>
              </w:rPr>
              <w:t> 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-154,215.34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859,713.74</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237,873.16</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537,019.56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2,909,631.65</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-2,706,174.30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-1,184,079.56</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-2,442,128.69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7,125,695.03</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-422,437.37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-433,627.34</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-2,044,084.26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5,174,705.01</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-193,637,038.19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-72,444,386.08</w:t>
            </w:r>
          </w:p>
        </w:tc>
      </w:tr>
      <w:tr>
        <w:trPr>
          <w:trHeight w:val="34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-32,453,972.28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-23,908,326.76</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43,163,323.32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148,449,112.87</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345,057,871.73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338,214,720.30</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338,214,720.30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225,146,645.18</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6,843,151.43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113,068,075.12</w:t>
            </w:r>
          </w:p>
        </w:tc>
      </w:tr>
    </w:tbl>
    <w:p>
      <w:pPr>
        <w:pStyle w:val="BodyText"/>
        <w:spacing w:line="240" w:lineRule="auto" w:before="81"/>
        <w:ind w:right="0"/>
        <w:jc w:val="left"/>
      </w:pPr>
      <w:r>
        <w:rPr/>
        <w:t>（2）现金及现金等价物的构成</w:t>
      </w:r>
    </w:p>
    <w:p>
      <w:pPr>
        <w:spacing w:after="0" w:line="240" w:lineRule="auto"/>
        <w:jc w:val="left"/>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4963"/>
        <w:gridCol w:w="2124"/>
        <w:gridCol w:w="2126"/>
      </w:tblGrid>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64,490.51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82,301.34</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334,687,683.25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330,832,031.74</w:t>
            </w:r>
          </w:p>
        </w:tc>
      </w:tr>
      <w:tr>
        <w:trPr>
          <w:trHeight w:val="348"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10,305,697.97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7,300,387.22</w:t>
            </w: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b/>
                <w:bCs/>
                <w:sz w:val="18"/>
                <w:szCs w:val="18"/>
              </w:rPr>
              <w:t>、</w:t>
            </w:r>
            <w:r>
              <w:rPr>
                <w:rFonts w:ascii="宋体" w:hAnsi="宋体" w:cs="宋体" w:eastAsia="宋体" w:hint="default"/>
                <w:sz w:val="18"/>
                <w:szCs w:val="18"/>
              </w:rPr>
              <w:t>期末现金及现金等价物余额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345,057,871.73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z w:val="18"/>
              </w:rPr>
              <w:t>338,214,720.30</w:t>
            </w:r>
          </w:p>
        </w:tc>
      </w:tr>
    </w:tbl>
    <w:p>
      <w:pPr>
        <w:spacing w:line="240" w:lineRule="auto" w:before="2"/>
        <w:rPr>
          <w:rFonts w:ascii="宋体" w:hAnsi="宋体" w:cs="宋体" w:eastAsia="宋体" w:hint="default"/>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42、政府补助</w:t>
      </w:r>
      <w:r>
        <w:rPr>
          <w:rFonts w:ascii="宋体" w:hAnsi="宋体" w:cs="宋体" w:eastAsia="宋体" w:hint="default"/>
          <w:sz w:val="21"/>
          <w:szCs w:val="21"/>
        </w:rPr>
      </w:r>
    </w:p>
    <w:p>
      <w:pPr>
        <w:pStyle w:val="BodyText"/>
        <w:spacing w:line="240" w:lineRule="auto" w:before="68"/>
        <w:ind w:right="0"/>
        <w:jc w:val="left"/>
      </w:pPr>
      <w:r>
        <w:rPr/>
        <w:t>（1）本期初始确认的政府补助的基本情况</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418"/>
        <w:gridCol w:w="1416"/>
        <w:gridCol w:w="569"/>
        <w:gridCol w:w="1133"/>
        <w:gridCol w:w="566"/>
        <w:gridCol w:w="994"/>
        <w:gridCol w:w="1560"/>
        <w:gridCol w:w="850"/>
        <w:gridCol w:w="708"/>
      </w:tblGrid>
      <w:tr>
        <w:trPr>
          <w:trHeight w:val="348"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sz w:val="18"/>
                <w:szCs w:val="18"/>
              </w:rPr>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与收益相关</w:t>
            </w:r>
            <w:r>
              <w:rPr>
                <w:rFonts w:ascii="宋体" w:hAnsi="宋体" w:cs="宋体" w:eastAsia="宋体" w:hint="default"/>
                <w:sz w:val="18"/>
                <w:szCs w:val="18"/>
              </w:rPr>
            </w:r>
          </w:p>
        </w:tc>
        <w:tc>
          <w:tcPr>
            <w:tcW w:w="708" w:type="dxa"/>
            <w:vMerge w:val="restart"/>
            <w:tcBorders>
              <w:top w:val="single" w:sz="4" w:space="0" w:color="000000"/>
              <w:left w:val="single" w:sz="4" w:space="0" w:color="000000"/>
              <w:right w:val="single" w:sz="4" w:space="0" w:color="000000"/>
            </w:tcBorders>
          </w:tcPr>
          <w:p>
            <w:pPr>
              <w:pStyle w:val="TableParagraph"/>
              <w:spacing w:line="319" w:lineRule="auto" w:before="104"/>
              <w:ind w:left="79" w:right="74"/>
              <w:jc w:val="left"/>
              <w:rPr>
                <w:rFonts w:ascii="宋体" w:hAnsi="宋体" w:cs="宋体" w:eastAsia="宋体" w:hint="default"/>
                <w:sz w:val="18"/>
                <w:szCs w:val="18"/>
              </w:rPr>
            </w:pPr>
            <w:r>
              <w:rPr>
                <w:rFonts w:ascii="宋体" w:hAnsi="宋体" w:cs="宋体" w:eastAsia="宋体" w:hint="default"/>
                <w:b/>
                <w:bCs/>
                <w:sz w:val="18"/>
                <w:szCs w:val="18"/>
              </w:rPr>
              <w:t>是否实</w:t>
            </w:r>
            <w:r>
              <w:rPr>
                <w:rFonts w:ascii="宋体" w:hAnsi="宋体" w:cs="宋体" w:eastAsia="宋体" w:hint="default"/>
                <w:b/>
                <w:bCs/>
                <w:w w:val="99"/>
                <w:sz w:val="18"/>
                <w:szCs w:val="18"/>
              </w:rPr>
              <w:t> </w:t>
            </w:r>
            <w:r>
              <w:rPr>
                <w:rFonts w:ascii="宋体" w:hAnsi="宋体" w:cs="宋体" w:eastAsia="宋体" w:hint="default"/>
                <w:b/>
                <w:bCs/>
                <w:sz w:val="18"/>
                <w:szCs w:val="18"/>
              </w:rPr>
              <w:t>际收到</w:t>
            </w:r>
            <w:r>
              <w:rPr>
                <w:rFonts w:ascii="宋体" w:hAnsi="宋体" w:cs="宋体" w:eastAsia="宋体" w:hint="default"/>
                <w:sz w:val="18"/>
                <w:szCs w:val="18"/>
              </w:rPr>
            </w:r>
          </w:p>
        </w:tc>
      </w:tr>
      <w:tr>
        <w:trPr>
          <w:trHeight w:val="478" w:hRule="exact"/>
        </w:trPr>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递延</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冲</w:t>
            </w:r>
            <w:r>
              <w:rPr>
                <w:rFonts w:ascii="宋体" w:hAnsi="宋体" w:cs="宋体" w:eastAsia="宋体" w:hint="default"/>
                <w:spacing w:val="-45"/>
                <w:sz w:val="18"/>
                <w:szCs w:val="18"/>
              </w:rPr>
              <w:t> </w:t>
            </w:r>
            <w:r>
              <w:rPr>
                <w:rFonts w:ascii="宋体" w:hAnsi="宋体" w:cs="宋体" w:eastAsia="宋体" w:hint="default"/>
                <w:sz w:val="18"/>
                <w:szCs w:val="18"/>
              </w:rPr>
              <w:t>减</w:t>
            </w:r>
            <w:r>
              <w:rPr>
                <w:rFonts w:ascii="宋体" w:hAnsi="宋体" w:cs="宋体" w:eastAsia="宋体" w:hint="default"/>
                <w:spacing w:val="-45"/>
                <w:sz w:val="18"/>
                <w:szCs w:val="18"/>
              </w:rPr>
              <w:t> </w:t>
            </w: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z w:val="18"/>
                <w:szCs w:val="18"/>
              </w:rPr>
              <w:t>产</w:t>
            </w:r>
            <w:r>
              <w:rPr>
                <w:rFonts w:ascii="宋体" w:hAnsi="宋体" w:cs="宋体" w:eastAsia="宋体" w:hint="default"/>
                <w:spacing w:val="-45"/>
                <w:sz w:val="18"/>
                <w:szCs w:val="18"/>
              </w:rPr>
              <w:t> </w:t>
            </w:r>
            <w:r>
              <w:rPr>
                <w:rFonts w:ascii="宋体" w:hAnsi="宋体" w:cs="宋体" w:eastAsia="宋体" w:hint="default"/>
                <w:sz w:val="18"/>
                <w:szCs w:val="18"/>
              </w:rPr>
              <w:t>账</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递延</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冲减成本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708" w:type="dxa"/>
            <w:vMerge/>
            <w:tcBorders>
              <w:left w:val="single" w:sz="4" w:space="0" w:color="000000"/>
              <w:bottom w:val="single" w:sz="4" w:space="0" w:color="000000"/>
              <w:right w:val="single" w:sz="4" w:space="0" w:color="000000"/>
            </w:tcBorders>
          </w:tcPr>
          <w:p>
            <w:pP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总部企业奖励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5,096,138.04</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5,096,138.04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515,178.96</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515,178.96</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生产扶持资金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1,226,400.00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1,226,400.00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6,837,717.00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6,837,717.00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81"/>
        <w:ind w:right="0"/>
        <w:jc w:val="left"/>
      </w:pPr>
      <w:r>
        <w:rPr/>
        <w:t>（2）计入当期损益的政府补助情况</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85"/>
        <w:gridCol w:w="1985"/>
        <w:gridCol w:w="1418"/>
        <w:gridCol w:w="1843"/>
        <w:gridCol w:w="1982"/>
      </w:tblGrid>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b/>
                <w:bCs/>
                <w:sz w:val="18"/>
                <w:szCs w:val="18"/>
              </w:rPr>
              <w:t>计入其他收益</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b/>
                <w:bCs/>
                <w:sz w:val="18"/>
                <w:szCs w:val="18"/>
              </w:rPr>
              <w:t>计入营业外收入</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b/>
                <w:bCs/>
                <w:sz w:val="18"/>
                <w:szCs w:val="18"/>
              </w:rPr>
              <w:t>冲减成本费用</w:t>
            </w:r>
            <w:r>
              <w:rPr>
                <w:rFonts w:ascii="宋体" w:hAnsi="宋体" w:cs="宋体" w:eastAsia="宋体" w:hint="default"/>
                <w:sz w:val="18"/>
                <w:szCs w:val="18"/>
              </w:rPr>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总部企业奖励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5,096,138.04</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社会保险基金管理中心</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515,178.96</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生产扶持资金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1,226,400.00</w:t>
            </w: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6,837,717.00</w:t>
            </w:r>
          </w:p>
        </w:tc>
        <w:tc>
          <w:tcPr>
            <w:tcW w:w="19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1" w:lineRule="auto" w:before="81"/>
        <w:ind w:right="5915"/>
        <w:jc w:val="left"/>
      </w:pPr>
      <w:r>
        <w:rPr>
          <w:spacing w:val="-2"/>
        </w:rPr>
        <w:t>（3）本期退回的政府补助情况</w:t>
      </w:r>
      <w:r>
        <w:rPr>
          <w:spacing w:val="-80"/>
        </w:rPr>
        <w:t> </w:t>
      </w:r>
      <w:r>
        <w:rPr>
          <w:spacing w:val="-80"/>
        </w:rPr>
      </w:r>
      <w:r>
        <w:rPr/>
        <w:t>无</w:t>
      </w:r>
    </w:p>
    <w:p>
      <w:pPr>
        <w:spacing w:line="240" w:lineRule="auto" w:before="8"/>
        <w:rPr>
          <w:rFonts w:ascii="宋体" w:hAnsi="宋体" w:cs="宋体" w:eastAsia="宋体" w:hint="default"/>
          <w:sz w:val="24"/>
          <w:szCs w:val="24"/>
        </w:rPr>
      </w:pPr>
    </w:p>
    <w:p>
      <w:pPr>
        <w:spacing w:line="300" w:lineRule="auto" w:before="0"/>
        <w:ind w:left="573" w:right="4699" w:firstLine="2"/>
        <w:jc w:val="left"/>
        <w:rPr>
          <w:rFonts w:ascii="宋体" w:hAnsi="宋体" w:cs="宋体" w:eastAsia="宋体" w:hint="default"/>
          <w:sz w:val="21"/>
          <w:szCs w:val="21"/>
        </w:rPr>
      </w:pPr>
      <w:r>
        <w:rPr>
          <w:rFonts w:ascii="宋体" w:hAnsi="宋体" w:cs="宋体" w:eastAsia="宋体" w:hint="default"/>
          <w:b/>
          <w:bCs/>
          <w:sz w:val="21"/>
          <w:szCs w:val="21"/>
        </w:rPr>
        <w:t>七、合并范围的变更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1、非同一控制下企业合并</w:t>
      </w:r>
    </w:p>
    <w:p>
      <w:pPr>
        <w:pStyle w:val="BodyText"/>
        <w:spacing w:line="240" w:lineRule="auto" w:before="16"/>
        <w:ind w:right="0"/>
        <w:jc w:val="left"/>
      </w:pPr>
      <w:r>
        <w:rPr/>
        <w:t>（1）本期发生的非同一控制下企业合并</w:t>
      </w: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135"/>
        <w:gridCol w:w="1104"/>
        <w:gridCol w:w="737"/>
        <w:gridCol w:w="943"/>
        <w:gridCol w:w="900"/>
        <w:gridCol w:w="1046"/>
        <w:gridCol w:w="938"/>
        <w:gridCol w:w="1135"/>
        <w:gridCol w:w="1274"/>
      </w:tblGrid>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99"/>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17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61"/>
              <w:jc w:val="left"/>
              <w:rPr>
                <w:rFonts w:ascii="宋体" w:hAnsi="宋体" w:cs="宋体" w:eastAsia="宋体" w:hint="default"/>
                <w:sz w:val="18"/>
                <w:szCs w:val="18"/>
              </w:rPr>
            </w:pPr>
            <w:r>
              <w:rPr>
                <w:rFonts w:ascii="宋体" w:hAnsi="宋体" w:cs="宋体" w:eastAsia="宋体" w:hint="default"/>
                <w:sz w:val="18"/>
                <w:szCs w:val="18"/>
              </w:rPr>
              <w:t>股权取 得成本</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96"/>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44"/>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82"/>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购买日至期</w:t>
            </w:r>
          </w:p>
          <w:p>
            <w:pPr>
              <w:pStyle w:val="TableParagraph"/>
              <w:spacing w:line="232" w:lineRule="exact" w:before="24"/>
              <w:ind w:left="24" w:right="199"/>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购买日至期末</w:t>
            </w:r>
          </w:p>
          <w:p>
            <w:pPr>
              <w:pStyle w:val="TableParagraph"/>
              <w:spacing w:line="232" w:lineRule="exact" w:before="24"/>
              <w:ind w:left="21" w:right="161"/>
              <w:jc w:val="left"/>
              <w:rPr>
                <w:rFonts w:ascii="宋体" w:hAnsi="宋体" w:cs="宋体" w:eastAsia="宋体" w:hint="default"/>
                <w:sz w:val="18"/>
                <w:szCs w:val="18"/>
              </w:rPr>
            </w:pPr>
            <w:r>
              <w:rPr>
                <w:rFonts w:ascii="宋体" w:hAnsi="宋体" w:cs="宋体" w:eastAsia="宋体" w:hint="default"/>
                <w:sz w:val="18"/>
                <w:szCs w:val="18"/>
              </w:rPr>
              <w:t>被购买方的净 利润</w:t>
            </w:r>
          </w:p>
        </w:tc>
      </w:tr>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新丝路融资</w:t>
            </w:r>
          </w:p>
          <w:p>
            <w:pPr>
              <w:pStyle w:val="TableParagraph"/>
              <w:spacing w:line="232" w:lineRule="exact" w:before="24"/>
              <w:ind w:left="24" w:right="19"/>
              <w:jc w:val="left"/>
              <w:rPr>
                <w:rFonts w:ascii="宋体" w:hAnsi="宋体" w:cs="宋体" w:eastAsia="宋体" w:hint="default"/>
                <w:sz w:val="18"/>
                <w:szCs w:val="18"/>
              </w:rPr>
            </w:pPr>
            <w:r>
              <w:rPr>
                <w:rFonts w:ascii="宋体" w:hAnsi="宋体" w:cs="宋体" w:eastAsia="宋体" w:hint="default"/>
                <w:sz w:val="18"/>
                <w:szCs w:val="18"/>
              </w:rPr>
              <w:t>租赁（深圳） 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sz w:val="18"/>
              </w:rPr>
              <w:t>1.00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sz w:val="18"/>
              </w:rPr>
              <w:t>75.00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账面价格</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sz w:val="18"/>
              </w:rPr>
              <w:t>-35.98</w:t>
            </w:r>
          </w:p>
        </w:tc>
      </w:tr>
    </w:tbl>
    <w:p>
      <w:pPr>
        <w:pStyle w:val="BodyText"/>
        <w:spacing w:line="240" w:lineRule="auto" w:before="81"/>
        <w:ind w:right="0"/>
        <w:jc w:val="left"/>
      </w:pPr>
      <w:r>
        <w:rPr/>
        <w:t>（2）合并成本及商誉</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6204"/>
        <w:gridCol w:w="3010"/>
      </w:tblGrid>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
              <w:jc w:val="right"/>
              <w:rPr>
                <w:rFonts w:ascii="宋体" w:hAnsi="宋体" w:cs="宋体" w:eastAsia="宋体" w:hint="default"/>
                <w:sz w:val="18"/>
                <w:szCs w:val="18"/>
              </w:rPr>
            </w:pPr>
            <w:r>
              <w:rPr>
                <w:rFonts w:ascii="宋体" w:hAnsi="宋体" w:cs="宋体" w:eastAsia="宋体" w:hint="default"/>
                <w:sz w:val="18"/>
                <w:szCs w:val="18"/>
              </w:rPr>
              <w:t>新丝路融资租赁（深圳）有限公司</w:t>
            </w: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6204"/>
        <w:gridCol w:w="3010"/>
      </w:tblGrid>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
              <w:jc w:val="right"/>
              <w:rPr>
                <w:rFonts w:ascii="宋体" w:hAnsi="宋体" w:cs="宋体" w:eastAsia="宋体" w:hint="default"/>
                <w:sz w:val="18"/>
                <w:szCs w:val="18"/>
              </w:rPr>
            </w:pPr>
            <w:r>
              <w:rPr>
                <w:rFonts w:ascii="宋体" w:hAnsi="宋体" w:cs="宋体" w:eastAsia="宋体" w:hint="default"/>
                <w:sz w:val="18"/>
                <w:szCs w:val="18"/>
              </w:rPr>
              <w:t>新丝路融资租赁（深圳）有限公司</w:t>
            </w: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0.00</w:t>
            </w:r>
          </w:p>
        </w:tc>
      </w:tr>
      <w:tr>
        <w:trPr>
          <w:trHeight w:val="350"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商誉/合并成本小于取得的可辨认净资产公允价值份额的金额</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w:t>
            </w:r>
          </w:p>
        </w:tc>
      </w:tr>
    </w:tbl>
    <w:p>
      <w:pPr>
        <w:pStyle w:val="BodyText"/>
        <w:spacing w:line="271" w:lineRule="auto" w:before="81"/>
        <w:ind w:right="0"/>
        <w:jc w:val="left"/>
      </w:pPr>
      <w:r>
        <w:rPr/>
        <w:t>①合并成本公允价值的确定</w:t>
      </w:r>
      <w:r>
        <w:rPr>
          <w:w w:val="100"/>
        </w:rPr>
        <w:t> </w:t>
      </w:r>
      <w:r>
        <w:rPr>
          <w:spacing w:val="-2"/>
        </w:rPr>
        <w:t>被合并方最近一期的资产总额、负债总额、应收款项总额、或有事项涉及的总额、净资产、营</w:t>
      </w:r>
    </w:p>
    <w:p>
      <w:pPr>
        <w:pStyle w:val="BodyText"/>
        <w:spacing w:line="273" w:lineRule="auto" w:before="10"/>
        <w:ind w:left="153" w:right="0"/>
        <w:jc w:val="left"/>
      </w:pPr>
      <w:r>
        <w:rPr>
          <w:spacing w:val="-2"/>
        </w:rPr>
        <w:t>业收入、营业利润、净利润和经营活动产生的现金流量净额等财务数据（未经审计）均为零。本公</w:t>
      </w:r>
      <w:r>
        <w:rPr>
          <w:spacing w:val="-45"/>
        </w:rPr>
        <w:t> </w:t>
      </w:r>
      <w:r>
        <w:rPr>
          <w:spacing w:val="-45"/>
        </w:rPr>
      </w:r>
      <w:r>
        <w:rPr/>
        <w:t>司的子公司长实科技以现金</w:t>
      </w:r>
      <w:r>
        <w:rPr>
          <w:spacing w:val="-55"/>
        </w:rPr>
        <w:t> </w:t>
      </w:r>
      <w:r>
        <w:rPr/>
        <w:t>1</w:t>
      </w:r>
      <w:r>
        <w:rPr>
          <w:spacing w:val="-55"/>
        </w:rPr>
        <w:t> </w:t>
      </w:r>
      <w:r>
        <w:rPr/>
        <w:t>元整的价格收购新丝路融资租赁（深圳）有限公司</w:t>
      </w:r>
      <w:r>
        <w:rPr>
          <w:spacing w:val="-55"/>
        </w:rPr>
        <w:t> </w:t>
      </w:r>
      <w:r>
        <w:rPr/>
        <w:t>75%的股权</w:t>
      </w:r>
    </w:p>
    <w:p>
      <w:pPr>
        <w:pStyle w:val="BodyText"/>
        <w:spacing w:line="273" w:lineRule="auto"/>
        <w:ind w:right="6226"/>
        <w:jc w:val="left"/>
      </w:pPr>
      <w:r>
        <w:rPr>
          <w:spacing w:val="-2"/>
        </w:rPr>
        <w:t>②或有对价及其变动的说明</w:t>
      </w:r>
      <w:r>
        <w:rPr>
          <w:spacing w:val="-82"/>
        </w:rPr>
        <w:t> </w:t>
      </w:r>
      <w:r>
        <w:rPr>
          <w:spacing w:val="-82"/>
        </w:rPr>
      </w:r>
      <w:r>
        <w:rPr/>
        <w:t>无</w:t>
      </w:r>
    </w:p>
    <w:p>
      <w:pPr>
        <w:pStyle w:val="BodyText"/>
        <w:spacing w:line="273" w:lineRule="auto"/>
        <w:ind w:right="6226"/>
        <w:jc w:val="left"/>
      </w:pPr>
      <w:r>
        <w:rPr>
          <w:spacing w:val="-2"/>
        </w:rPr>
        <w:t>③大额商誉形成的主要原因</w:t>
      </w:r>
      <w:r>
        <w:rPr>
          <w:spacing w:val="-82"/>
        </w:rPr>
        <w:t> </w:t>
      </w:r>
      <w:r>
        <w:rPr>
          <w:spacing w:val="-82"/>
        </w:rPr>
      </w:r>
      <w:r>
        <w:rPr/>
        <w:t>无</w:t>
      </w:r>
    </w:p>
    <w:p>
      <w:pPr>
        <w:pStyle w:val="BodyText"/>
        <w:spacing w:line="273" w:lineRule="auto" w:before="101"/>
        <w:ind w:right="6571"/>
        <w:jc w:val="left"/>
      </w:pPr>
      <w:r>
        <w:rPr>
          <w:spacing w:val="-2"/>
        </w:rPr>
        <w:t>2、同一控制下企业合并</w:t>
      </w:r>
      <w:r>
        <w:rPr>
          <w:spacing w:val="-83"/>
        </w:rPr>
        <w:t> </w:t>
      </w:r>
      <w:r>
        <w:rPr>
          <w:spacing w:val="-83"/>
        </w:rPr>
      </w:r>
      <w:r>
        <w:rPr/>
        <w:t>无</w:t>
      </w:r>
    </w:p>
    <w:p>
      <w:pPr>
        <w:pStyle w:val="BodyText"/>
        <w:spacing w:line="273" w:lineRule="auto" w:before="101"/>
        <w:ind w:right="4699"/>
        <w:jc w:val="left"/>
      </w:pPr>
      <w:r>
        <w:rPr/>
        <w:t>3、其他原因的合并范围变动</w:t>
      </w:r>
      <w:r>
        <w:rPr>
          <w:w w:val="100"/>
        </w:rPr>
        <w:t> </w:t>
      </w:r>
      <w:r>
        <w:rPr>
          <w:spacing w:val="-2"/>
        </w:rPr>
        <w:t>本公司之子公司新设子公司情况如下：</w:t>
      </w:r>
    </w:p>
    <w:p>
      <w:pPr>
        <w:pStyle w:val="BodyText"/>
        <w:spacing w:line="273" w:lineRule="auto"/>
        <w:ind w:left="153" w:right="309" w:firstLine="420"/>
        <w:jc w:val="left"/>
      </w:pPr>
      <w:r>
        <w:rPr/>
        <w:t>本公司之子公司长实科技于</w:t>
      </w:r>
      <w:r>
        <w:rPr>
          <w:spacing w:val="-48"/>
        </w:rPr>
        <w:t> </w:t>
      </w:r>
      <w:r>
        <w:rPr/>
        <w:t>2017</w:t>
      </w:r>
      <w:r>
        <w:rPr>
          <w:spacing w:val="-50"/>
        </w:rPr>
        <w:t> </w:t>
      </w:r>
      <w:r>
        <w:rPr/>
        <w:t>年</w:t>
      </w:r>
      <w:r>
        <w:rPr>
          <w:spacing w:val="-48"/>
        </w:rPr>
        <w:t> </w:t>
      </w:r>
      <w:r>
        <w:rPr/>
        <w:t>8</w:t>
      </w:r>
      <w:r>
        <w:rPr>
          <w:spacing w:val="-48"/>
        </w:rPr>
        <w:t> </w:t>
      </w:r>
      <w:r>
        <w:rPr/>
        <w:t>月</w:t>
      </w:r>
      <w:r>
        <w:rPr>
          <w:spacing w:val="-50"/>
        </w:rPr>
        <w:t> </w:t>
      </w:r>
      <w:r>
        <w:rPr/>
        <w:t>6</w:t>
      </w:r>
      <w:r>
        <w:rPr>
          <w:spacing w:val="-48"/>
        </w:rPr>
        <w:t> </w:t>
      </w:r>
      <w:r>
        <w:rPr/>
        <w:t>日设立新疆长实通信科技有限公司，注册资本</w:t>
      </w:r>
      <w:r>
        <w:rPr>
          <w:spacing w:val="-50"/>
        </w:rPr>
        <w:t> </w:t>
      </w:r>
      <w:r>
        <w:rPr/>
        <w:t>1000</w:t>
      </w:r>
      <w:r>
        <w:rPr>
          <w:w w:val="100"/>
        </w:rPr>
        <w:t> </w:t>
      </w:r>
      <w:r>
        <w:rPr/>
        <w:t>万元人民币，法定代表人王建民，持股比例</w:t>
      </w:r>
      <w:r>
        <w:rPr>
          <w:spacing w:val="-57"/>
        </w:rPr>
        <w:t> </w:t>
      </w:r>
      <w:r>
        <w:rPr/>
        <w:t>100%。</w:t>
      </w:r>
    </w:p>
    <w:p>
      <w:pPr>
        <w:pStyle w:val="BodyText"/>
        <w:spacing w:line="240" w:lineRule="auto"/>
        <w:ind w:right="0"/>
        <w:jc w:val="left"/>
      </w:pPr>
      <w:r>
        <w:rPr/>
        <w:t>本公司之子公司长实科技于</w:t>
      </w:r>
      <w:r>
        <w:rPr>
          <w:spacing w:val="-38"/>
        </w:rPr>
        <w:t> </w:t>
      </w:r>
      <w:r>
        <w:rPr/>
        <w:t>2017</w:t>
      </w:r>
      <w:r>
        <w:rPr>
          <w:spacing w:val="-41"/>
        </w:rPr>
        <w:t> </w:t>
      </w:r>
      <w:r>
        <w:rPr/>
        <w:t>年</w:t>
      </w:r>
      <w:r>
        <w:rPr>
          <w:spacing w:val="-38"/>
        </w:rPr>
        <w:t> </w:t>
      </w:r>
      <w:r>
        <w:rPr/>
        <w:t>11</w:t>
      </w:r>
      <w:r>
        <w:rPr>
          <w:spacing w:val="-41"/>
        </w:rPr>
        <w:t> </w:t>
      </w:r>
      <w:r>
        <w:rPr/>
        <w:t>月</w:t>
      </w:r>
      <w:r>
        <w:rPr>
          <w:spacing w:val="-38"/>
        </w:rPr>
        <w:t> </w:t>
      </w:r>
      <w:r>
        <w:rPr/>
        <w:t>20</w:t>
      </w:r>
      <w:r>
        <w:rPr>
          <w:spacing w:val="-41"/>
        </w:rPr>
        <w:t> </w:t>
      </w:r>
      <w:r>
        <w:rPr/>
        <w:t>日设立霍尔果斯长实云谷信息科技有限公司，注</w:t>
      </w:r>
    </w:p>
    <w:p>
      <w:pPr>
        <w:pStyle w:val="BodyText"/>
        <w:spacing w:line="240" w:lineRule="auto" w:before="37"/>
        <w:ind w:left="153" w:right="0"/>
        <w:jc w:val="left"/>
      </w:pPr>
      <w:r>
        <w:rPr/>
        <w:t>册资本</w:t>
      </w:r>
      <w:r>
        <w:rPr>
          <w:spacing w:val="-55"/>
        </w:rPr>
        <w:t> </w:t>
      </w:r>
      <w:r>
        <w:rPr/>
        <w:t>1000</w:t>
      </w:r>
      <w:r>
        <w:rPr>
          <w:spacing w:val="-55"/>
        </w:rPr>
        <w:t> </w:t>
      </w:r>
      <w:r>
        <w:rPr/>
        <w:t>万元人民币，法定代表人邓汝和，持股比例</w:t>
      </w:r>
      <w:r>
        <w:rPr>
          <w:spacing w:val="-55"/>
        </w:rPr>
        <w:t> </w:t>
      </w:r>
      <w:r>
        <w:rPr/>
        <w:t>100%</w:t>
      </w:r>
    </w:p>
    <w:p>
      <w:pPr>
        <w:pStyle w:val="BodyText"/>
        <w:spacing w:line="273" w:lineRule="auto" w:before="37"/>
        <w:ind w:left="153" w:right="0" w:firstLine="420"/>
        <w:jc w:val="left"/>
      </w:pPr>
      <w:r>
        <w:rPr/>
        <w:t>本公司之子公司创世漫道于</w:t>
      </w:r>
      <w:r>
        <w:rPr>
          <w:spacing w:val="-49"/>
        </w:rPr>
        <w:t> </w:t>
      </w:r>
      <w:r>
        <w:rPr/>
        <w:t>2017</w:t>
      </w:r>
      <w:r>
        <w:rPr>
          <w:spacing w:val="-50"/>
        </w:rPr>
        <w:t> </w:t>
      </w:r>
      <w:r>
        <w:rPr/>
        <w:t>年</w:t>
      </w:r>
      <w:r>
        <w:rPr>
          <w:spacing w:val="-52"/>
        </w:rPr>
        <w:t> </w:t>
      </w:r>
      <w:r>
        <w:rPr/>
        <w:t>3</w:t>
      </w:r>
      <w:r>
        <w:rPr>
          <w:spacing w:val="-50"/>
        </w:rPr>
        <w:t> </w:t>
      </w:r>
      <w:r>
        <w:rPr/>
        <w:t>月</w:t>
      </w:r>
      <w:r>
        <w:rPr>
          <w:spacing w:val="-52"/>
        </w:rPr>
        <w:t> </w:t>
      </w:r>
      <w:r>
        <w:rPr/>
        <w:t>17</w:t>
      </w:r>
      <w:r>
        <w:rPr>
          <w:spacing w:val="-50"/>
        </w:rPr>
        <w:t> </w:t>
      </w:r>
      <w:r>
        <w:rPr>
          <w:spacing w:val="-5"/>
        </w:rPr>
        <w:t>日设立新疆漫道通信科技有限公司，注册资本</w:t>
      </w:r>
      <w:r>
        <w:rPr>
          <w:spacing w:val="-50"/>
        </w:rPr>
        <w:t> </w:t>
      </w:r>
      <w:r>
        <w:rPr/>
        <w:t>1000</w:t>
      </w:r>
      <w:r>
        <w:rPr>
          <w:w w:val="100"/>
        </w:rPr>
        <w:t> </w:t>
      </w:r>
      <w:r>
        <w:rPr/>
        <w:t>万元，法定代表人冯文胜，持股比例</w:t>
      </w:r>
      <w:r>
        <w:rPr>
          <w:spacing w:val="-55"/>
        </w:rPr>
        <w:t> </w:t>
      </w:r>
      <w:r>
        <w:rPr/>
        <w:t>100%。</w:t>
      </w:r>
    </w:p>
    <w:p>
      <w:pPr>
        <w:spacing w:line="240" w:lineRule="auto" w:before="6"/>
        <w:rPr>
          <w:rFonts w:ascii="宋体" w:hAnsi="宋体" w:cs="宋体" w:eastAsia="宋体" w:hint="default"/>
          <w:sz w:val="24"/>
          <w:szCs w:val="24"/>
        </w:rPr>
      </w:pPr>
    </w:p>
    <w:p>
      <w:pPr>
        <w:spacing w:line="300" w:lineRule="auto" w:before="0"/>
        <w:ind w:left="573" w:right="6571" w:firstLine="2"/>
        <w:jc w:val="left"/>
        <w:rPr>
          <w:rFonts w:ascii="宋体" w:hAnsi="宋体" w:cs="宋体" w:eastAsia="宋体" w:hint="default"/>
          <w:sz w:val="21"/>
          <w:szCs w:val="21"/>
        </w:rPr>
      </w:pPr>
      <w:r>
        <w:rPr>
          <w:rFonts w:ascii="宋体" w:hAnsi="宋体" w:cs="宋体" w:eastAsia="宋体" w:hint="default"/>
          <w:b/>
          <w:bCs/>
          <w:sz w:val="21"/>
          <w:szCs w:val="21"/>
        </w:rPr>
        <w:t>八、在其他主体中的权益</w:t>
      </w:r>
      <w:r>
        <w:rPr>
          <w:rFonts w:ascii="宋体" w:hAnsi="宋体" w:cs="宋体" w:eastAsia="宋体" w:hint="default"/>
          <w:b/>
          <w:bCs/>
          <w:w w:val="100"/>
          <w:sz w:val="21"/>
          <w:szCs w:val="21"/>
        </w:rPr>
        <w:t> </w:t>
      </w:r>
      <w:r>
        <w:rPr>
          <w:rFonts w:ascii="宋体" w:hAnsi="宋体" w:cs="宋体" w:eastAsia="宋体" w:hint="default"/>
          <w:sz w:val="21"/>
          <w:szCs w:val="21"/>
        </w:rPr>
        <w:t>1、在子公司中的权益</w:t>
      </w:r>
    </w:p>
    <w:tbl>
      <w:tblPr>
        <w:tblW w:w="0" w:type="auto"/>
        <w:jc w:val="left"/>
        <w:tblInd w:w="148" w:type="dxa"/>
        <w:tblLayout w:type="fixed"/>
        <w:tblCellMar>
          <w:top w:w="0" w:type="dxa"/>
          <w:left w:w="0" w:type="dxa"/>
          <w:bottom w:w="0" w:type="dxa"/>
          <w:right w:w="0" w:type="dxa"/>
        </w:tblCellMar>
        <w:tblLook w:val="01E0"/>
      </w:tblPr>
      <w:tblGrid>
        <w:gridCol w:w="2268"/>
        <w:gridCol w:w="850"/>
        <w:gridCol w:w="850"/>
        <w:gridCol w:w="1702"/>
        <w:gridCol w:w="852"/>
        <w:gridCol w:w="850"/>
        <w:gridCol w:w="1843"/>
      </w:tblGrid>
      <w:tr>
        <w:trPr>
          <w:trHeight w:val="324"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4" w:space="0" w:color="000000"/>
              <w:left w:val="single" w:sz="4" w:space="0" w:color="000000"/>
              <w:right w:val="single" w:sz="4" w:space="0" w:color="000000"/>
            </w:tcBorders>
          </w:tcPr>
          <w:p>
            <w:pPr>
              <w:pStyle w:val="TableParagraph"/>
              <w:spacing w:line="316" w:lineRule="auto" w:before="12"/>
              <w:ind w:left="328" w:right="60"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营业性质</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6" w:hRule="exact"/>
        </w:trPr>
        <w:tc>
          <w:tcPr>
            <w:tcW w:w="22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43" w:type="dxa"/>
            <w:vMerge/>
            <w:tcBorders>
              <w:left w:val="single" w:sz="4" w:space="0" w:color="000000"/>
              <w:bottom w:val="single" w:sz="4" w:space="0" w:color="000000"/>
              <w:right w:val="single" w:sz="4" w:space="0" w:color="000000"/>
            </w:tcBorders>
          </w:tcPr>
          <w:p>
            <w:pPr/>
          </w:p>
        </w:tc>
      </w:tr>
      <w:tr>
        <w:trPr>
          <w:trHeight w:val="3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
              <w:jc w:val="center"/>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电信增值业务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
              <w:jc w:val="center"/>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广东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通信服务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新丝路融资租赁（深圳）有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融资租赁业务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92" w:right="0"/>
              <w:jc w:val="left"/>
              <w:rPr>
                <w:rFonts w:ascii="宋体" w:hAnsi="宋体" w:cs="宋体" w:eastAsia="宋体" w:hint="default"/>
                <w:sz w:val="18"/>
                <w:szCs w:val="18"/>
              </w:rPr>
            </w:pPr>
            <w:r>
              <w:rPr>
                <w:rFonts w:ascii="宋体"/>
                <w:sz w:val="18"/>
              </w:rPr>
              <w:t>75.00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
              <w:jc w:val="center"/>
              <w:rPr>
                <w:rFonts w:ascii="宋体" w:hAnsi="宋体" w:cs="宋体" w:eastAsia="宋体" w:hint="default"/>
                <w:sz w:val="18"/>
                <w:szCs w:val="18"/>
              </w:rPr>
            </w:pPr>
            <w:r>
              <w:rPr>
                <w:rFonts w:ascii="宋体" w:hAnsi="宋体" w:cs="宋体" w:eastAsia="宋体" w:hint="default"/>
                <w:sz w:val="18"/>
                <w:szCs w:val="18"/>
              </w:rPr>
              <w:t>新疆长实通信科技有限公司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新疆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通信网络维护</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9" w:right="0"/>
              <w:jc w:val="left"/>
              <w:rPr>
                <w:rFonts w:ascii="宋体" w:hAnsi="宋体" w:cs="宋体" w:eastAsia="宋体" w:hint="default"/>
                <w:sz w:val="18"/>
                <w:szCs w:val="18"/>
              </w:rPr>
            </w:pPr>
            <w:r>
              <w:rPr>
                <w:rFonts w:ascii="宋体"/>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新设设立</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霍尔果斯长实云谷信息科技</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18"/>
                <w:szCs w:val="18"/>
              </w:rPr>
            </w:pPr>
            <w:r>
              <w:rPr>
                <w:rFonts w:ascii="宋体" w:hAnsi="宋体" w:cs="宋体" w:eastAsia="宋体" w:hint="default"/>
                <w:sz w:val="18"/>
                <w:szCs w:val="18"/>
              </w:rPr>
              <w:t>新疆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信息技术服务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49" w:right="0"/>
              <w:jc w:val="left"/>
              <w:rPr>
                <w:rFonts w:ascii="宋体" w:hAnsi="宋体" w:cs="宋体" w:eastAsia="宋体" w:hint="default"/>
                <w:sz w:val="18"/>
                <w:szCs w:val="18"/>
              </w:rPr>
            </w:pPr>
            <w:r>
              <w:rPr>
                <w:rFonts w:ascii="宋体"/>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新设设立</w:t>
            </w:r>
          </w:p>
        </w:tc>
      </w:tr>
      <w:tr>
        <w:trPr>
          <w:trHeight w:val="35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
              <w:jc w:val="center"/>
              <w:rPr>
                <w:rFonts w:ascii="宋体" w:hAnsi="宋体" w:cs="宋体" w:eastAsia="宋体" w:hint="default"/>
                <w:sz w:val="18"/>
                <w:szCs w:val="18"/>
              </w:rPr>
            </w:pPr>
            <w:r>
              <w:rPr>
                <w:rFonts w:ascii="宋体" w:hAnsi="宋体" w:cs="宋体" w:eastAsia="宋体" w:hint="default"/>
                <w:sz w:val="18"/>
                <w:szCs w:val="18"/>
              </w:rPr>
              <w:t>新疆漫道通信科技有限公司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电信增值业务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9" w:right="0"/>
              <w:jc w:val="left"/>
              <w:rPr>
                <w:rFonts w:ascii="宋体" w:hAnsi="宋体" w:cs="宋体" w:eastAsia="宋体" w:hint="default"/>
                <w:sz w:val="18"/>
                <w:szCs w:val="18"/>
              </w:rPr>
            </w:pPr>
            <w:r>
              <w:rPr>
                <w:rFonts w:ascii="宋体"/>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新设设立</w:t>
            </w:r>
          </w:p>
        </w:tc>
      </w:tr>
    </w:tbl>
    <w:p>
      <w:pPr>
        <w:spacing w:after="0" w:line="240" w:lineRule="auto"/>
        <w:jc w:val="center"/>
        <w:rPr>
          <w:rFonts w:ascii="宋体" w:hAnsi="宋体" w:cs="宋体" w:eastAsia="宋体" w:hint="default"/>
          <w:sz w:val="18"/>
          <w:szCs w:val="18"/>
        </w:rPr>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268"/>
        <w:gridCol w:w="850"/>
        <w:gridCol w:w="850"/>
        <w:gridCol w:w="1702"/>
        <w:gridCol w:w="852"/>
        <w:gridCol w:w="850"/>
        <w:gridCol w:w="1843"/>
      </w:tblGrid>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北京东方博星科技有限责任</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left"/>
              <w:rPr>
                <w:rFonts w:ascii="宋体" w:hAnsi="宋体" w:cs="宋体" w:eastAsia="宋体" w:hint="default"/>
                <w:sz w:val="18"/>
                <w:szCs w:val="18"/>
              </w:rPr>
            </w:pPr>
            <w:r>
              <w:rPr>
                <w:rFonts w:ascii="宋体"/>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6"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pStyle w:val="BodyText"/>
        <w:spacing w:line="273" w:lineRule="auto" w:before="81"/>
        <w:ind w:right="3003"/>
        <w:jc w:val="left"/>
      </w:pPr>
      <w:r>
        <w:rPr>
          <w:spacing w:val="-2"/>
        </w:rPr>
        <w:t>2、在子公司的所有者权益份额发生变化且仍控制子公司的交易</w:t>
      </w:r>
      <w:r>
        <w:rPr>
          <w:spacing w:val="-52"/>
        </w:rPr>
        <w:t> </w:t>
      </w:r>
      <w:r>
        <w:rPr>
          <w:spacing w:val="-52"/>
        </w:rPr>
      </w:r>
      <w:r>
        <w:rPr/>
        <w:t>无</w:t>
      </w:r>
    </w:p>
    <w:p>
      <w:pPr>
        <w:pStyle w:val="BodyText"/>
        <w:spacing w:line="273" w:lineRule="auto" w:before="101"/>
        <w:ind w:right="5517"/>
        <w:jc w:val="left"/>
      </w:pPr>
      <w:r>
        <w:rPr>
          <w:spacing w:val="-2"/>
        </w:rPr>
        <w:t>3、在合营企业或联营企业中的权益</w:t>
      </w:r>
      <w:r>
        <w:rPr>
          <w:spacing w:val="-76"/>
        </w:rPr>
        <w:t> </w:t>
      </w:r>
      <w:r>
        <w:rPr>
          <w:spacing w:val="-76"/>
        </w:rPr>
      </w:r>
      <w:r>
        <w:rPr/>
        <w:t>无</w:t>
      </w:r>
    </w:p>
    <w:p>
      <w:pPr>
        <w:pStyle w:val="BodyText"/>
        <w:spacing w:line="271" w:lineRule="auto" w:before="101"/>
        <w:ind w:right="7116"/>
        <w:jc w:val="left"/>
      </w:pPr>
      <w:r>
        <w:rPr>
          <w:spacing w:val="-1"/>
        </w:rPr>
        <w:t>4、重要的共同经营</w:t>
      </w:r>
      <w:r>
        <w:rPr>
          <w:spacing w:val="-95"/>
        </w:rPr>
        <w:t> </w:t>
      </w:r>
      <w:r>
        <w:rPr>
          <w:spacing w:val="-95"/>
        </w:rPr>
      </w:r>
      <w:r>
        <w:rPr/>
        <w:t>无</w:t>
      </w:r>
    </w:p>
    <w:p>
      <w:pPr>
        <w:pStyle w:val="BodyText"/>
        <w:spacing w:line="273" w:lineRule="auto" w:before="103"/>
        <w:ind w:right="3835"/>
        <w:jc w:val="left"/>
      </w:pPr>
      <w:r>
        <w:rPr>
          <w:spacing w:val="-2"/>
        </w:rPr>
        <w:t>5、在未纳入合并财务报表范围的结构化主体中的权益</w:t>
      </w:r>
      <w:r>
        <w:rPr>
          <w:spacing w:val="-62"/>
        </w:rPr>
        <w:t> </w:t>
      </w:r>
      <w:r>
        <w:rPr>
          <w:spacing w:val="-62"/>
        </w:rPr>
      </w:r>
      <w:r>
        <w:rPr/>
        <w:t>无</w:t>
      </w:r>
    </w:p>
    <w:p>
      <w:pPr>
        <w:spacing w:line="240" w:lineRule="auto" w:before="6"/>
        <w:rPr>
          <w:rFonts w:ascii="宋体" w:hAnsi="宋体" w:cs="宋体" w:eastAsia="宋体" w:hint="default"/>
          <w:sz w:val="24"/>
          <w:szCs w:val="24"/>
        </w:rPr>
      </w:pPr>
    </w:p>
    <w:p>
      <w:pPr>
        <w:spacing w:line="273"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九、与金融工具相关的风险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本公司的主要金融工具包括应收账款、应付账款等，各项金融工具的详细情况说明见本附注六</w:t>
      </w:r>
    </w:p>
    <w:p>
      <w:pPr>
        <w:pStyle w:val="BodyText"/>
        <w:spacing w:line="273" w:lineRule="auto"/>
        <w:ind w:left="153" w:right="312"/>
        <w:jc w:val="both"/>
      </w:pPr>
      <w:r>
        <w:rPr>
          <w:spacing w:val="-2"/>
        </w:rPr>
        <w:t>相关项目。与这些金融工具有关的风险，以及本公司为降低这些风险所采取的风险管理政策如下所</w:t>
      </w:r>
      <w:r>
        <w:rPr>
          <w:spacing w:val="-47"/>
        </w:rPr>
        <w:t> </w:t>
      </w:r>
      <w:r>
        <w:rPr>
          <w:spacing w:val="-47"/>
        </w:rPr>
      </w:r>
      <w:r>
        <w:rPr/>
        <w:t>述。本公司管理层对这些风险敞口进行管理和监控以确保将上述风险控制在限定的范围之内。</w:t>
      </w:r>
    </w:p>
    <w:p>
      <w:pPr>
        <w:pStyle w:val="BodyText"/>
        <w:spacing w:line="273" w:lineRule="auto"/>
        <w:ind w:left="153" w:right="296" w:firstLine="420"/>
        <w:jc w:val="both"/>
      </w:pPr>
      <w:r>
        <w:rPr>
          <w:spacing w:val="-2"/>
        </w:rPr>
        <w:t>本公司采用敏感性分析技术分析风险变量的合理、可能变化对当期损益或股东权益可能产生的</w:t>
      </w:r>
      <w:r>
        <w:rPr>
          <w:w w:val="100"/>
        </w:rPr>
        <w:t> </w:t>
      </w:r>
      <w:r>
        <w:rPr>
          <w:spacing w:val="-2"/>
        </w:rPr>
        <w:t>影响。由于任何风险变量很少孤立地发生变化，而变量之间存在的相关性对某一风险变量的变化的</w:t>
      </w:r>
      <w:r>
        <w:rPr>
          <w:spacing w:val="-46"/>
        </w:rPr>
        <w:t> </w:t>
      </w:r>
      <w:r>
        <w:rPr>
          <w:spacing w:val="-46"/>
        </w:rPr>
      </w:r>
      <w:r>
        <w:rPr>
          <w:spacing w:val="-2"/>
        </w:rPr>
        <w:t>最终影响金额将产生重大作用，因此下述内容是在假设每一变量的变化是在独立的情况下进行的。</w:t>
      </w:r>
    </w:p>
    <w:p>
      <w:pPr>
        <w:pStyle w:val="BodyText"/>
        <w:spacing w:line="273" w:lineRule="auto" w:before="101"/>
        <w:ind w:right="0"/>
        <w:jc w:val="left"/>
      </w:pPr>
      <w:r>
        <w:rPr/>
        <w:t>（一）风险管理目标和政策</w:t>
      </w:r>
      <w:r>
        <w:rPr>
          <w:w w:val="100"/>
        </w:rPr>
        <w:t> </w:t>
      </w:r>
      <w:r>
        <w:rPr>
          <w:spacing w:val="-2"/>
        </w:rPr>
        <w:t>本公司从事风险管理的目标是在风险和收益之间取得适当的平衡，将风险对本公司经营业绩的</w:t>
      </w:r>
    </w:p>
    <w:p>
      <w:pPr>
        <w:pStyle w:val="BodyText"/>
        <w:spacing w:line="273" w:lineRule="auto" w:before="8"/>
        <w:ind w:left="153" w:right="310"/>
        <w:jc w:val="both"/>
      </w:pPr>
      <w:r>
        <w:rPr>
          <w:spacing w:val="-2"/>
        </w:rPr>
        <w:t>负面影响降低到最低水平，使股东及其其他权益投资者的利益最大化。基于该风险管理目标，本公</w:t>
      </w:r>
      <w:r>
        <w:rPr>
          <w:spacing w:val="-46"/>
        </w:rPr>
        <w:t> </w:t>
      </w:r>
      <w:r>
        <w:rPr>
          <w:spacing w:val="-46"/>
        </w:rPr>
      </w:r>
      <w:r>
        <w:rPr>
          <w:spacing w:val="-2"/>
        </w:rPr>
        <w:t>司风险管理的基本策略是确定和分析本公司所面临的各种风险，建立适当的风险承受底线和进行风</w:t>
      </w:r>
      <w:r>
        <w:rPr>
          <w:spacing w:val="-42"/>
        </w:rPr>
        <w:t> </w:t>
      </w:r>
      <w:r>
        <w:rPr>
          <w:spacing w:val="-42"/>
        </w:rPr>
      </w:r>
      <w:r>
        <w:rPr/>
        <w:t>险管理，并及时可靠地对各种风险进行监督，将风险控制在限定的范围之内。</w:t>
      </w:r>
    </w:p>
    <w:p>
      <w:pPr>
        <w:pStyle w:val="BodyText"/>
        <w:spacing w:line="240" w:lineRule="auto"/>
        <w:ind w:left="679" w:right="0"/>
        <w:jc w:val="left"/>
      </w:pPr>
      <w:r>
        <w:rPr/>
        <w:t>1、市场风险</w:t>
      </w:r>
    </w:p>
    <w:p>
      <w:pPr>
        <w:pStyle w:val="BodyText"/>
        <w:spacing w:line="273" w:lineRule="auto" w:before="37"/>
        <w:ind w:right="5291"/>
        <w:jc w:val="left"/>
      </w:pPr>
      <w:r>
        <w:rPr>
          <w:spacing w:val="-2"/>
        </w:rPr>
        <w:t>（1）外汇风险－现金流量变动风险</w:t>
      </w:r>
      <w:r>
        <w:rPr>
          <w:spacing w:val="-76"/>
        </w:rPr>
        <w:t> </w:t>
      </w:r>
      <w:r>
        <w:rPr>
          <w:spacing w:val="-76"/>
        </w:rPr>
      </w:r>
      <w:r>
        <w:rPr/>
        <w:t>无。</w:t>
      </w:r>
    </w:p>
    <w:p>
      <w:pPr>
        <w:pStyle w:val="BodyText"/>
        <w:spacing w:line="273" w:lineRule="auto"/>
        <w:ind w:right="2597"/>
        <w:jc w:val="left"/>
      </w:pPr>
      <w:r>
        <w:rPr/>
        <w:t>（2）利率风险</w:t>
      </w:r>
      <w:r>
        <w:rPr>
          <w:w w:val="100"/>
        </w:rPr>
        <w:t> </w:t>
      </w:r>
      <w:r>
        <w:rPr>
          <w:spacing w:val="-2"/>
        </w:rPr>
        <w:t>因本公司借款均属短期且金额较少，故利率风险较小。</w:t>
      </w:r>
    </w:p>
    <w:p>
      <w:pPr>
        <w:pStyle w:val="BodyText"/>
        <w:spacing w:line="273" w:lineRule="auto" w:before="8"/>
        <w:ind w:right="7116"/>
        <w:jc w:val="left"/>
      </w:pPr>
      <w:r>
        <w:rPr>
          <w:spacing w:val="-1"/>
        </w:rPr>
        <w:t>（3）其他价格风险</w:t>
      </w:r>
      <w:r>
        <w:rPr>
          <w:spacing w:val="-95"/>
        </w:rPr>
        <w:t> </w:t>
      </w:r>
      <w:r>
        <w:rPr>
          <w:spacing w:val="-95"/>
        </w:rPr>
      </w:r>
      <w:r>
        <w:rPr/>
        <w:t>无。</w:t>
      </w:r>
    </w:p>
    <w:p>
      <w:pPr>
        <w:pStyle w:val="BodyText"/>
        <w:spacing w:line="240" w:lineRule="auto"/>
        <w:ind w:left="679" w:right="0"/>
        <w:jc w:val="left"/>
      </w:pPr>
      <w:r>
        <w:rPr/>
        <w:t>2、信用风险</w:t>
      </w:r>
    </w:p>
    <w:p>
      <w:pPr>
        <w:pStyle w:val="BodyText"/>
        <w:spacing w:line="273" w:lineRule="auto" w:before="37"/>
        <w:ind w:left="153" w:right="308" w:firstLine="525"/>
        <w:jc w:val="left"/>
      </w:pPr>
      <w:r>
        <w:rPr/>
        <w:t>2017</w:t>
      </w:r>
      <w:r>
        <w:rPr>
          <w:spacing w:val="-49"/>
        </w:rPr>
        <w:t> </w:t>
      </w:r>
      <w:r>
        <w:rPr/>
        <w:t>年</w:t>
      </w:r>
      <w:r>
        <w:rPr>
          <w:spacing w:val="-46"/>
        </w:rPr>
        <w:t> </w:t>
      </w:r>
      <w:r>
        <w:rPr/>
        <w:t>12</w:t>
      </w:r>
      <w:r>
        <w:rPr>
          <w:spacing w:val="-49"/>
        </w:rPr>
        <w:t> </w:t>
      </w:r>
      <w:r>
        <w:rPr/>
        <w:t>月</w:t>
      </w:r>
      <w:r>
        <w:rPr>
          <w:spacing w:val="-46"/>
        </w:rPr>
        <w:t> </w:t>
      </w:r>
      <w:r>
        <w:rPr/>
        <w:t>31</w:t>
      </w:r>
      <w:r>
        <w:rPr>
          <w:spacing w:val="-46"/>
        </w:rPr>
        <w:t> </w:t>
      </w:r>
      <w:r>
        <w:rPr/>
        <w:t>日，可能引起本公司财务损失的最大信用风险敞口主要来自于合同另一方未</w:t>
      </w:r>
      <w:r>
        <w:rPr>
          <w:w w:val="100"/>
        </w:rPr>
        <w:t> </w:t>
      </w:r>
      <w:r>
        <w:rPr/>
        <w:t>能履行义务而导致本公司金融资产产生的损失。</w:t>
      </w:r>
    </w:p>
    <w:p>
      <w:pPr>
        <w:pStyle w:val="BodyText"/>
        <w:spacing w:line="273" w:lineRule="auto"/>
        <w:ind w:left="153" w:right="310" w:firstLine="420"/>
        <w:jc w:val="both"/>
      </w:pPr>
      <w:r>
        <w:rPr>
          <w:spacing w:val="-2"/>
        </w:rPr>
        <w:t>为降低信用风险，本公司成立了一个小组负责确定信用额度、进行信用审批，并执行其他监控</w:t>
      </w:r>
      <w:r>
        <w:rPr>
          <w:w w:val="100"/>
        </w:rPr>
        <w:t> </w:t>
      </w:r>
      <w:r>
        <w:rPr>
          <w:spacing w:val="-2"/>
        </w:rPr>
        <w:t>程序以确保采取必要的措施回收过期债权。此外，本公司于每个资产负债表日审核每一单项应收款</w:t>
      </w:r>
      <w:r>
        <w:rPr>
          <w:spacing w:val="-42"/>
        </w:rPr>
        <w:t> </w:t>
      </w:r>
      <w:r>
        <w:rPr>
          <w:spacing w:val="-42"/>
        </w:rPr>
      </w:r>
      <w:r>
        <w:rPr>
          <w:spacing w:val="-2"/>
        </w:rPr>
        <w:t>的回收情况，以确保就无法回收的款项计提充分的坏账准备。因此，本公司管理层认为本公司所承</w:t>
      </w:r>
      <w:r>
        <w:rPr>
          <w:spacing w:val="-47"/>
        </w:rPr>
        <w:t> </w:t>
      </w:r>
      <w:r>
        <w:rPr>
          <w:spacing w:val="-47"/>
        </w:rPr>
      </w:r>
      <w:r>
        <w:rPr/>
        <w:t>担的信用风险已经大为降低。</w:t>
      </w:r>
    </w:p>
    <w:p>
      <w:pPr>
        <w:pStyle w:val="BodyText"/>
        <w:spacing w:line="273" w:lineRule="auto"/>
        <w:ind w:right="0" w:firstLine="105"/>
        <w:jc w:val="left"/>
      </w:pPr>
      <w:r>
        <w:rPr/>
        <w:t>3、流动风险</w:t>
      </w:r>
      <w:r>
        <w:rPr>
          <w:w w:val="100"/>
        </w:rPr>
        <w:t> </w:t>
      </w:r>
      <w:r>
        <w:rPr>
          <w:spacing w:val="-2"/>
        </w:rPr>
        <w:t>管理流动风险时，本公司保持管理层认为充分的现金及现金等价物并对其进行监控，以满足本</w:t>
      </w:r>
    </w:p>
    <w:p>
      <w:pPr>
        <w:pStyle w:val="BodyText"/>
        <w:spacing w:line="240" w:lineRule="auto" w:before="8"/>
        <w:ind w:left="153" w:right="0"/>
        <w:jc w:val="both"/>
      </w:pPr>
      <w:r>
        <w:rPr/>
        <w:t>公司经营需要，并降低现金流量波动的影响。</w:t>
      </w:r>
    </w:p>
    <w:p>
      <w:pPr>
        <w:pStyle w:val="BodyText"/>
        <w:spacing w:line="273" w:lineRule="auto" w:before="37"/>
        <w:ind w:left="153" w:right="310" w:firstLine="420"/>
        <w:jc w:val="both"/>
      </w:pPr>
      <w:r>
        <w:rPr/>
        <w:t>本公司短期借款 2000</w:t>
      </w:r>
      <w:r>
        <w:rPr>
          <w:spacing w:val="-22"/>
        </w:rPr>
        <w:t> </w:t>
      </w:r>
      <w:r>
        <w:rPr/>
        <w:t>万，从公司目前的正常现金流观察，该部分短期借款随时归还亦不足以</w:t>
      </w:r>
      <w:r>
        <w:rPr>
          <w:w w:val="100"/>
        </w:rPr>
        <w:t> </w:t>
      </w:r>
      <w:r>
        <w:rPr/>
        <w:t>形成资金流量的重大影响。</w:t>
      </w:r>
    </w:p>
    <w:p>
      <w:pPr>
        <w:pStyle w:val="BodyText"/>
        <w:spacing w:line="240" w:lineRule="auto" w:before="101"/>
        <w:ind w:right="0"/>
        <w:jc w:val="left"/>
      </w:pPr>
      <w:r>
        <w:rPr/>
        <w:t>（二）金融资产转移</w:t>
      </w:r>
    </w:p>
    <w:p>
      <w:pPr>
        <w:spacing w:after="0" w:line="240" w:lineRule="auto"/>
        <w:jc w:val="left"/>
        <w:sectPr>
          <w:pgSz w:w="11910" w:h="16840"/>
          <w:pgMar w:header="884" w:footer="1219" w:top="1140" w:bottom="1400" w:left="1320" w:right="1100"/>
        </w:sectPr>
      </w:pPr>
    </w:p>
    <w:p>
      <w:pPr>
        <w:pStyle w:val="BodyText"/>
        <w:spacing w:line="240" w:lineRule="auto" w:before="131"/>
        <w:ind w:right="168"/>
        <w:jc w:val="left"/>
      </w:pPr>
      <w:r>
        <w:rPr/>
        <w:t>无。</w:t>
      </w:r>
    </w:p>
    <w:p>
      <w:pPr>
        <w:pStyle w:val="BodyText"/>
        <w:spacing w:line="273" w:lineRule="auto" w:before="131"/>
        <w:ind w:right="5444"/>
        <w:jc w:val="left"/>
      </w:pPr>
      <w:r>
        <w:rPr>
          <w:spacing w:val="-2"/>
        </w:rPr>
        <w:t>（三）金融资产与金融负债的抵销</w:t>
      </w:r>
      <w:r>
        <w:rPr>
          <w:spacing w:val="-75"/>
        </w:rPr>
        <w:t> </w:t>
      </w:r>
      <w:r>
        <w:rPr>
          <w:spacing w:val="-75"/>
        </w:rPr>
      </w:r>
      <w:r>
        <w:rPr/>
        <w:t>无。</w:t>
      </w:r>
    </w:p>
    <w:p>
      <w:pPr>
        <w:spacing w:line="240" w:lineRule="auto" w:before="6"/>
        <w:rPr>
          <w:rFonts w:ascii="宋体" w:hAnsi="宋体" w:cs="宋体" w:eastAsia="宋体" w:hint="default"/>
          <w:sz w:val="24"/>
          <w:szCs w:val="24"/>
        </w:rPr>
      </w:pPr>
    </w:p>
    <w:p>
      <w:pPr>
        <w:spacing w:line="273" w:lineRule="auto" w:before="0"/>
        <w:ind w:left="573" w:right="5444" w:firstLine="2"/>
        <w:jc w:val="left"/>
        <w:rPr>
          <w:rFonts w:ascii="宋体" w:hAnsi="宋体" w:cs="宋体" w:eastAsia="宋体" w:hint="default"/>
          <w:sz w:val="21"/>
          <w:szCs w:val="21"/>
        </w:rPr>
      </w:pPr>
      <w:r>
        <w:rPr>
          <w:rFonts w:ascii="宋体" w:hAnsi="宋体" w:cs="宋体" w:eastAsia="宋体" w:hint="default"/>
          <w:b/>
          <w:bCs/>
          <w:sz w:val="21"/>
          <w:szCs w:val="21"/>
        </w:rPr>
        <w:t>十、关联方及关联交易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1、本公司的母公司情况</w:t>
      </w:r>
    </w:p>
    <w:p>
      <w:pPr>
        <w:pStyle w:val="BodyText"/>
        <w:spacing w:line="240" w:lineRule="auto"/>
        <w:ind w:right="168"/>
        <w:jc w:val="left"/>
      </w:pPr>
      <w:r>
        <w:rPr/>
        <w:t>2017</w:t>
      </w:r>
      <w:r>
        <w:rPr>
          <w:spacing w:val="-54"/>
        </w:rPr>
        <w:t> </w:t>
      </w:r>
      <w:r>
        <w:rPr/>
        <w:t>年</w:t>
      </w:r>
      <w:r>
        <w:rPr>
          <w:spacing w:val="-52"/>
        </w:rPr>
        <w:t> </w:t>
      </w:r>
      <w:r>
        <w:rPr/>
        <w:t>1</w:t>
      </w:r>
      <w:r>
        <w:rPr>
          <w:spacing w:val="-54"/>
        </w:rPr>
        <w:t> </w:t>
      </w:r>
      <w:r>
        <w:rPr/>
        <w:t>月</w:t>
      </w:r>
      <w:r>
        <w:rPr>
          <w:spacing w:val="-52"/>
        </w:rPr>
        <w:t> </w:t>
      </w:r>
      <w:r>
        <w:rPr/>
        <w:t>31</w:t>
      </w:r>
      <w:r>
        <w:rPr>
          <w:spacing w:val="-54"/>
        </w:rPr>
        <w:t> </w:t>
      </w:r>
      <w:r>
        <w:rPr/>
        <w:t>日至审计报告日，公司无控股股东、实际控制人。</w:t>
      </w:r>
    </w:p>
    <w:p>
      <w:pPr>
        <w:pStyle w:val="BodyText"/>
        <w:spacing w:line="240" w:lineRule="auto" w:before="37"/>
        <w:ind w:right="101"/>
        <w:jc w:val="left"/>
      </w:pPr>
      <w:r>
        <w:rPr>
          <w:w w:val="100"/>
        </w:rPr>
        <w:t>2017</w:t>
      </w:r>
      <w:r>
        <w:rPr>
          <w:spacing w:val="-48"/>
        </w:rPr>
        <w:t> </w:t>
      </w:r>
      <w:r>
        <w:rPr>
          <w:w w:val="100"/>
        </w:rPr>
        <w:t>年</w:t>
      </w:r>
      <w:r>
        <w:rPr>
          <w:spacing w:val="-45"/>
        </w:rPr>
        <w:t> </w:t>
      </w:r>
      <w:r>
        <w:rPr>
          <w:w w:val="100"/>
        </w:rPr>
        <w:t>1</w:t>
      </w:r>
      <w:r>
        <w:rPr>
          <w:spacing w:val="-48"/>
        </w:rPr>
        <w:t> </w:t>
      </w:r>
      <w:r>
        <w:rPr>
          <w:w w:val="100"/>
        </w:rPr>
        <w:t>月</w:t>
      </w:r>
      <w:r>
        <w:rPr>
          <w:spacing w:val="-45"/>
        </w:rPr>
        <w:t> </w:t>
      </w:r>
      <w:r>
        <w:rPr>
          <w:w w:val="100"/>
        </w:rPr>
        <w:t>9</w:t>
      </w:r>
      <w:r>
        <w:rPr>
          <w:spacing w:val="-45"/>
        </w:rPr>
        <w:t> </w:t>
      </w:r>
      <w:r>
        <w:rPr>
          <w:spacing w:val="-3"/>
          <w:w w:val="100"/>
        </w:rPr>
        <w:t>日</w:t>
      </w:r>
      <w:r>
        <w:rPr>
          <w:w w:val="100"/>
        </w:rPr>
        <w:t>，</w:t>
      </w:r>
      <w:r>
        <w:rPr>
          <w:spacing w:val="-3"/>
          <w:w w:val="100"/>
        </w:rPr>
        <w:t>原</w:t>
      </w:r>
      <w:r>
        <w:rPr>
          <w:w w:val="100"/>
        </w:rPr>
        <w:t>公</w:t>
      </w:r>
      <w:r>
        <w:rPr>
          <w:spacing w:val="-3"/>
          <w:w w:val="100"/>
        </w:rPr>
        <w:t>司</w:t>
      </w:r>
      <w:r>
        <w:rPr>
          <w:w w:val="100"/>
        </w:rPr>
        <w:t>控股</w:t>
      </w:r>
      <w:r>
        <w:rPr>
          <w:spacing w:val="-3"/>
          <w:w w:val="100"/>
        </w:rPr>
        <w:t>股</w:t>
      </w:r>
      <w:r>
        <w:rPr>
          <w:w w:val="100"/>
        </w:rPr>
        <w:t>东</w:t>
      </w:r>
      <w:r>
        <w:rPr>
          <w:spacing w:val="-3"/>
          <w:w w:val="100"/>
        </w:rPr>
        <w:t>中</w:t>
      </w:r>
      <w:r>
        <w:rPr>
          <w:w w:val="100"/>
        </w:rPr>
        <w:t>兆</w:t>
      </w:r>
      <w:r>
        <w:rPr>
          <w:spacing w:val="-3"/>
          <w:w w:val="100"/>
        </w:rPr>
        <w:t>投</w:t>
      </w:r>
      <w:r>
        <w:rPr>
          <w:w w:val="100"/>
        </w:rPr>
        <w:t>资</w:t>
      </w:r>
      <w:r>
        <w:rPr>
          <w:spacing w:val="-3"/>
          <w:w w:val="100"/>
        </w:rPr>
        <w:t>与</w:t>
      </w:r>
      <w:r>
        <w:rPr>
          <w:w w:val="100"/>
        </w:rPr>
        <w:t>第</w:t>
      </w:r>
      <w:r>
        <w:rPr>
          <w:spacing w:val="-3"/>
          <w:w w:val="100"/>
        </w:rPr>
        <w:t>三</w:t>
      </w:r>
      <w:r>
        <w:rPr>
          <w:w w:val="100"/>
        </w:rPr>
        <w:t>方通</w:t>
      </w:r>
      <w:r>
        <w:rPr>
          <w:spacing w:val="-3"/>
          <w:w w:val="100"/>
        </w:rPr>
        <w:t>泰</w:t>
      </w:r>
      <w:r>
        <w:rPr>
          <w:w w:val="100"/>
        </w:rPr>
        <w:t>达</w:t>
      </w:r>
      <w:r>
        <w:rPr>
          <w:spacing w:val="-3"/>
          <w:w w:val="100"/>
        </w:rPr>
        <w:t>签</w:t>
      </w:r>
      <w:r>
        <w:rPr>
          <w:w w:val="100"/>
        </w:rPr>
        <w:t>署</w:t>
      </w:r>
      <w:r>
        <w:rPr>
          <w:spacing w:val="-3"/>
          <w:w w:val="100"/>
        </w:rPr>
        <w:t>《</w:t>
      </w:r>
      <w:r>
        <w:rPr>
          <w:w w:val="100"/>
        </w:rPr>
        <w:t>股</w:t>
      </w:r>
      <w:r>
        <w:rPr>
          <w:spacing w:val="-3"/>
          <w:w w:val="100"/>
        </w:rPr>
        <w:t>份</w:t>
      </w:r>
      <w:r>
        <w:rPr>
          <w:w w:val="100"/>
        </w:rPr>
        <w:t>转</w:t>
      </w:r>
      <w:r>
        <w:rPr>
          <w:spacing w:val="-3"/>
          <w:w w:val="100"/>
        </w:rPr>
        <w:t>让</w:t>
      </w:r>
      <w:r>
        <w:rPr>
          <w:w w:val="100"/>
        </w:rPr>
        <w:t>协议</w:t>
      </w:r>
      <w:r>
        <w:rPr>
          <w:spacing w:val="-108"/>
          <w:w w:val="100"/>
        </w:rPr>
        <w:t>》</w:t>
      </w:r>
      <w:r>
        <w:rPr>
          <w:spacing w:val="-1"/>
          <w:w w:val="100"/>
        </w:rPr>
        <w:t>，</w:t>
      </w:r>
      <w:r>
        <w:rPr>
          <w:spacing w:val="-3"/>
          <w:w w:val="100"/>
        </w:rPr>
        <w:t>出</w:t>
      </w:r>
      <w:r>
        <w:rPr>
          <w:w w:val="100"/>
        </w:rPr>
        <w:t>让</w:t>
      </w:r>
      <w:r>
        <w:rPr>
          <w:spacing w:val="-3"/>
          <w:w w:val="100"/>
        </w:rPr>
        <w:t>方</w:t>
      </w:r>
      <w:r>
        <w:rPr>
          <w:w w:val="100"/>
        </w:rPr>
        <w:t>中</w:t>
      </w:r>
    </w:p>
    <w:p>
      <w:pPr>
        <w:pStyle w:val="BodyText"/>
        <w:spacing w:line="240" w:lineRule="auto" w:before="37"/>
        <w:ind w:left="153" w:right="0"/>
        <w:jc w:val="both"/>
      </w:pPr>
      <w:r>
        <w:rPr/>
        <w:t>兆投资拟将其持有的本公司无限售条件股份 7,000</w:t>
      </w:r>
      <w:r>
        <w:rPr>
          <w:spacing w:val="-27"/>
        </w:rPr>
        <w:t> </w:t>
      </w:r>
      <w:r>
        <w:rPr>
          <w:spacing w:val="-5"/>
        </w:rPr>
        <w:t>万股，协议转让给受让方通泰达，转让价格每股</w:t>
      </w:r>
    </w:p>
    <w:p>
      <w:pPr>
        <w:pStyle w:val="BodyText"/>
        <w:spacing w:line="273" w:lineRule="auto" w:before="37"/>
        <w:ind w:right="168" w:hanging="421"/>
        <w:jc w:val="left"/>
      </w:pPr>
      <w:r>
        <w:rPr/>
        <w:t>20</w:t>
      </w:r>
      <w:r>
        <w:rPr>
          <w:spacing w:val="-54"/>
        </w:rPr>
        <w:t> </w:t>
      </w:r>
      <w:r>
        <w:rPr/>
        <w:t>元，转让总价款为</w:t>
      </w:r>
      <w:r>
        <w:rPr>
          <w:spacing w:val="-54"/>
        </w:rPr>
        <w:t> </w:t>
      </w:r>
      <w:r>
        <w:rPr/>
        <w:t>140,000</w:t>
      </w:r>
      <w:r>
        <w:rPr>
          <w:spacing w:val="-54"/>
        </w:rPr>
        <w:t> </w:t>
      </w:r>
      <w:r>
        <w:rPr/>
        <w:t>万元。协议转让给通泰达的过户工作完成。</w:t>
      </w:r>
      <w:r>
        <w:rPr>
          <w:w w:val="100"/>
        </w:rPr>
        <w:t> </w:t>
      </w:r>
      <w:r>
        <w:rPr>
          <w:spacing w:val="-2"/>
        </w:rPr>
        <w:t>股份协议转让完成后，公司控股股东、第一大股东已发生变更：中兆投资持股比例由报告期末</w:t>
      </w:r>
    </w:p>
    <w:p>
      <w:pPr>
        <w:pStyle w:val="BodyText"/>
        <w:spacing w:line="273" w:lineRule="auto"/>
        <w:ind w:left="153" w:right="170"/>
        <w:jc w:val="both"/>
      </w:pPr>
      <w:r>
        <w:rPr/>
        <w:t>的 33.46%降至期后的</w:t>
      </w:r>
      <w:r>
        <w:rPr>
          <w:spacing w:val="-23"/>
        </w:rPr>
        <w:t> </w:t>
      </w:r>
      <w:r>
        <w:rPr/>
        <w:t>22.20%变为公司第二大股东，不再是第一大股东、控股股东；鹰溪谷持股比</w:t>
      </w:r>
      <w:r>
        <w:rPr>
          <w:w w:val="100"/>
        </w:rPr>
        <w:t> </w:t>
      </w:r>
      <w:r>
        <w:rPr/>
        <w:t>例 23.86%没有变动，被动成为公司第一大股东，通泰达持股比例升至</w:t>
      </w:r>
      <w:r>
        <w:rPr>
          <w:spacing w:val="-23"/>
        </w:rPr>
        <w:t> </w:t>
      </w:r>
      <w:r>
        <w:rPr/>
        <w:t>11.26%，成为公司第三大股</w:t>
      </w:r>
      <w:r>
        <w:rPr>
          <w:w w:val="100"/>
        </w:rPr>
        <w:t> </w:t>
      </w:r>
      <w:r>
        <w:rPr/>
        <w:t>东。</w:t>
      </w:r>
    </w:p>
    <w:p>
      <w:pPr>
        <w:pStyle w:val="BodyText"/>
        <w:spacing w:line="240" w:lineRule="auto"/>
        <w:ind w:right="101"/>
        <w:jc w:val="left"/>
      </w:pPr>
      <w:r>
        <w:rPr>
          <w:w w:val="100"/>
        </w:rPr>
        <w:t>截至</w:t>
      </w:r>
      <w:r>
        <w:rPr>
          <w:spacing w:val="-3"/>
          <w:w w:val="100"/>
        </w:rPr>
        <w:t>到</w:t>
      </w:r>
      <w:r>
        <w:rPr>
          <w:w w:val="100"/>
        </w:rPr>
        <w:t>审</w:t>
      </w:r>
      <w:r>
        <w:rPr>
          <w:spacing w:val="-3"/>
          <w:w w:val="100"/>
        </w:rPr>
        <w:t>计</w:t>
      </w:r>
      <w:r>
        <w:rPr>
          <w:w w:val="100"/>
        </w:rPr>
        <w:t>报</w:t>
      </w:r>
      <w:r>
        <w:rPr>
          <w:spacing w:val="-3"/>
          <w:w w:val="100"/>
        </w:rPr>
        <w:t>告日</w:t>
      </w:r>
      <w:r>
        <w:rPr>
          <w:spacing w:val="-87"/>
          <w:w w:val="100"/>
        </w:rPr>
        <w:t>，</w:t>
      </w:r>
      <w:r>
        <w:rPr>
          <w:spacing w:val="-3"/>
          <w:w w:val="100"/>
        </w:rPr>
        <w:t>鹰</w:t>
      </w:r>
      <w:r>
        <w:rPr>
          <w:w w:val="100"/>
        </w:rPr>
        <w:t>溪</w:t>
      </w:r>
      <w:r>
        <w:rPr>
          <w:spacing w:val="-3"/>
          <w:w w:val="100"/>
        </w:rPr>
        <w:t>谷</w:t>
      </w:r>
      <w:r>
        <w:rPr>
          <w:w w:val="100"/>
        </w:rPr>
        <w:t>及其</w:t>
      </w:r>
      <w:r>
        <w:rPr>
          <w:spacing w:val="-3"/>
          <w:w w:val="100"/>
        </w:rPr>
        <w:t>一</w:t>
      </w:r>
      <w:r>
        <w:rPr>
          <w:w w:val="100"/>
        </w:rPr>
        <w:t>致</w:t>
      </w:r>
      <w:r>
        <w:rPr>
          <w:spacing w:val="-3"/>
          <w:w w:val="100"/>
        </w:rPr>
        <w:t>行</w:t>
      </w:r>
      <w:r>
        <w:rPr>
          <w:w w:val="100"/>
        </w:rPr>
        <w:t>动</w:t>
      </w:r>
      <w:r>
        <w:rPr>
          <w:spacing w:val="-3"/>
          <w:w w:val="100"/>
        </w:rPr>
        <w:t>人</w:t>
      </w:r>
      <w:r>
        <w:rPr>
          <w:w w:val="100"/>
        </w:rPr>
        <w:t>峰</w:t>
      </w:r>
      <w:r>
        <w:rPr>
          <w:spacing w:val="-3"/>
          <w:w w:val="100"/>
        </w:rPr>
        <w:t>幽</w:t>
      </w:r>
      <w:r>
        <w:rPr>
          <w:w w:val="100"/>
        </w:rPr>
        <w:t>投</w:t>
      </w:r>
      <w:r>
        <w:rPr>
          <w:spacing w:val="-3"/>
          <w:w w:val="100"/>
        </w:rPr>
        <w:t>资</w:t>
      </w:r>
      <w:r>
        <w:rPr>
          <w:spacing w:val="-89"/>
          <w:w w:val="100"/>
        </w:rPr>
        <w:t>、</w:t>
      </w:r>
      <w:r>
        <w:rPr>
          <w:w w:val="100"/>
        </w:rPr>
        <w:t>博升</w:t>
      </w:r>
      <w:r>
        <w:rPr>
          <w:spacing w:val="-3"/>
          <w:w w:val="100"/>
        </w:rPr>
        <w:t>优</w:t>
      </w:r>
      <w:r>
        <w:rPr>
          <w:w w:val="100"/>
        </w:rPr>
        <w:t>势</w:t>
      </w:r>
      <w:r>
        <w:rPr>
          <w:spacing w:val="-3"/>
          <w:w w:val="100"/>
        </w:rPr>
        <w:t>合</w:t>
      </w:r>
      <w:r>
        <w:rPr>
          <w:w w:val="100"/>
        </w:rPr>
        <w:t>计</w:t>
      </w:r>
      <w:r>
        <w:rPr>
          <w:spacing w:val="-3"/>
          <w:w w:val="100"/>
        </w:rPr>
        <w:t>持</w:t>
      </w:r>
      <w:r>
        <w:rPr>
          <w:w w:val="100"/>
        </w:rPr>
        <w:t>有</w:t>
      </w:r>
      <w:r>
        <w:rPr>
          <w:spacing w:val="-3"/>
          <w:w w:val="100"/>
        </w:rPr>
        <w:t>公</w:t>
      </w:r>
      <w:r>
        <w:rPr>
          <w:w w:val="100"/>
        </w:rPr>
        <w:t>司</w:t>
      </w:r>
      <w:r>
        <w:rPr>
          <w:spacing w:val="-3"/>
          <w:w w:val="100"/>
        </w:rPr>
        <w:t>股</w:t>
      </w:r>
      <w:r>
        <w:rPr>
          <w:w w:val="100"/>
        </w:rPr>
        <w:t>份</w:t>
      </w:r>
      <w:r>
        <w:rPr>
          <w:spacing w:val="-53"/>
        </w:rPr>
        <w:t> </w:t>
      </w:r>
      <w:r>
        <w:rPr>
          <w:w w:val="100"/>
        </w:rPr>
        <w:t>17</w:t>
      </w:r>
      <w:r>
        <w:rPr>
          <w:spacing w:val="-3"/>
          <w:w w:val="100"/>
        </w:rPr>
        <w:t>6</w:t>
      </w:r>
      <w:r>
        <w:rPr>
          <w:w w:val="100"/>
        </w:rPr>
        <w:t>,30</w:t>
      </w:r>
      <w:r>
        <w:rPr>
          <w:spacing w:val="-3"/>
          <w:w w:val="100"/>
        </w:rPr>
        <w:t>5</w:t>
      </w:r>
      <w:r>
        <w:rPr>
          <w:w w:val="100"/>
        </w:rPr>
        <w:t>,222</w:t>
      </w:r>
    </w:p>
    <w:p>
      <w:pPr>
        <w:pStyle w:val="BodyText"/>
        <w:spacing w:line="273" w:lineRule="auto" w:before="37"/>
        <w:ind w:left="153" w:right="170"/>
        <w:jc w:val="both"/>
      </w:pPr>
      <w:r>
        <w:rPr>
          <w:spacing w:val="-3"/>
        </w:rPr>
        <w:t>股，占比</w:t>
      </w:r>
      <w:r>
        <w:rPr>
          <w:spacing w:val="-59"/>
        </w:rPr>
        <w:t> </w:t>
      </w:r>
      <w:r>
        <w:rPr/>
        <w:t>28.35%；中兆投资及其一致行动人深圳茂业百货有限公司合计持有公司股份</w:t>
      </w:r>
      <w:r>
        <w:rPr>
          <w:spacing w:val="-57"/>
        </w:rPr>
        <w:t> </w:t>
      </w:r>
      <w:r>
        <w:rPr/>
        <w:t>150,510,927</w:t>
      </w:r>
      <w:r>
        <w:rPr>
          <w:w w:val="100"/>
        </w:rPr>
        <w:t> </w:t>
      </w:r>
      <w:r>
        <w:rPr/>
        <w:t>股，占比</w:t>
      </w:r>
      <w:r>
        <w:rPr>
          <w:spacing w:val="-42"/>
        </w:rPr>
        <w:t> </w:t>
      </w:r>
      <w:r>
        <w:rPr/>
        <w:t>24.20%；通泰达持有公司股份</w:t>
      </w:r>
      <w:r>
        <w:rPr>
          <w:spacing w:val="-42"/>
        </w:rPr>
        <w:t> </w:t>
      </w:r>
      <w:r>
        <w:rPr/>
        <w:t>70,000,000</w:t>
      </w:r>
      <w:r>
        <w:rPr>
          <w:spacing w:val="-3"/>
        </w:rPr>
        <w:t> </w:t>
      </w:r>
      <w:r>
        <w:rPr/>
        <w:t>股，占比</w:t>
      </w:r>
      <w:r>
        <w:rPr>
          <w:spacing w:val="-44"/>
        </w:rPr>
        <w:t> </w:t>
      </w:r>
      <w:r>
        <w:rPr/>
        <w:t>11.26%.前三大股东及其一致行动人</w:t>
      </w:r>
      <w:r>
        <w:rPr>
          <w:w w:val="100"/>
        </w:rPr>
        <w:t> </w:t>
      </w:r>
      <w:r>
        <w:rPr/>
        <w:t>持股比例均未超过</w:t>
      </w:r>
      <w:r>
        <w:rPr>
          <w:spacing w:val="-53"/>
        </w:rPr>
        <w:t> </w:t>
      </w:r>
      <w:r>
        <w:rPr/>
        <w:t>30%;</w:t>
      </w:r>
    </w:p>
    <w:p>
      <w:pPr>
        <w:pStyle w:val="BodyText"/>
        <w:spacing w:line="273" w:lineRule="auto"/>
        <w:ind w:left="153" w:right="168" w:firstLine="420"/>
        <w:jc w:val="left"/>
      </w:pPr>
      <w:r>
        <w:rPr>
          <w:spacing w:val="2"/>
        </w:rPr>
        <w:t>公司前三大股东及其一致行动人通过实际支配上市公司股份表决权不能够决定公司董事会半</w:t>
      </w:r>
      <w:r>
        <w:rPr>
          <w:w w:val="100"/>
        </w:rPr>
        <w:t> </w:t>
      </w:r>
      <w:r>
        <w:rPr/>
        <w:t>数以上成员选任；</w:t>
      </w:r>
    </w:p>
    <w:p>
      <w:pPr>
        <w:pStyle w:val="BodyText"/>
        <w:spacing w:line="273" w:lineRule="auto"/>
        <w:ind w:left="153" w:right="172" w:firstLine="420"/>
        <w:jc w:val="both"/>
      </w:pPr>
      <w:r>
        <w:rPr/>
        <w:t>公司现有</w:t>
      </w:r>
      <w:r>
        <w:rPr>
          <w:spacing w:val="-57"/>
        </w:rPr>
        <w:t> </w:t>
      </w:r>
      <w:r>
        <w:rPr/>
        <w:t>9</w:t>
      </w:r>
      <w:r>
        <w:rPr>
          <w:spacing w:val="-59"/>
        </w:rPr>
        <w:t> </w:t>
      </w:r>
      <w:r>
        <w:rPr/>
        <w:t>名董事中，鹰溪谷提名并当选董事</w:t>
      </w:r>
      <w:r>
        <w:rPr>
          <w:spacing w:val="-57"/>
        </w:rPr>
        <w:t> </w:t>
      </w:r>
      <w:r>
        <w:rPr/>
        <w:t>4</w:t>
      </w:r>
      <w:r>
        <w:rPr>
          <w:spacing w:val="-57"/>
        </w:rPr>
        <w:t> </w:t>
      </w:r>
      <w:r>
        <w:rPr/>
        <w:t>人，含独立董事</w:t>
      </w:r>
      <w:r>
        <w:rPr>
          <w:spacing w:val="-59"/>
        </w:rPr>
        <w:t> </w:t>
      </w:r>
      <w:r>
        <w:rPr/>
        <w:t>1</w:t>
      </w:r>
      <w:r>
        <w:rPr>
          <w:spacing w:val="-57"/>
        </w:rPr>
        <w:t> </w:t>
      </w:r>
      <w:r>
        <w:rPr/>
        <w:t>人；中兆投资提名并当选董</w:t>
      </w:r>
      <w:r>
        <w:rPr>
          <w:w w:val="100"/>
        </w:rPr>
        <w:t> </w:t>
      </w:r>
      <w:r>
        <w:rPr/>
        <w:t>事</w:t>
      </w:r>
      <w:r>
        <w:rPr>
          <w:spacing w:val="-53"/>
        </w:rPr>
        <w:t> </w:t>
      </w:r>
      <w:r>
        <w:rPr/>
        <w:t>3</w:t>
      </w:r>
      <w:r>
        <w:rPr>
          <w:spacing w:val="-53"/>
        </w:rPr>
        <w:t> </w:t>
      </w:r>
      <w:r>
        <w:rPr/>
        <w:t>人，含独立董事</w:t>
      </w:r>
      <w:r>
        <w:rPr>
          <w:spacing w:val="-55"/>
        </w:rPr>
        <w:t> </w:t>
      </w:r>
      <w:r>
        <w:rPr/>
        <w:t>1</w:t>
      </w:r>
      <w:r>
        <w:rPr>
          <w:spacing w:val="-53"/>
        </w:rPr>
        <w:t> </w:t>
      </w:r>
      <w:r>
        <w:rPr/>
        <w:t>人；通泰达推荐当选董事</w:t>
      </w:r>
      <w:r>
        <w:rPr>
          <w:spacing w:val="-53"/>
        </w:rPr>
        <w:t> </w:t>
      </w:r>
      <w:r>
        <w:rPr/>
        <w:t>2</w:t>
      </w:r>
      <w:r>
        <w:rPr>
          <w:spacing w:val="-55"/>
        </w:rPr>
        <w:t> </w:t>
      </w:r>
      <w:r>
        <w:rPr/>
        <w:t>人，独立董事</w:t>
      </w:r>
      <w:r>
        <w:rPr>
          <w:spacing w:val="-53"/>
        </w:rPr>
        <w:t> </w:t>
      </w:r>
      <w:r>
        <w:rPr/>
        <w:t>1</w:t>
      </w:r>
      <w:r>
        <w:rPr>
          <w:spacing w:val="-55"/>
        </w:rPr>
        <w:t> </w:t>
      </w:r>
      <w:r>
        <w:rPr>
          <w:spacing w:val="-3"/>
        </w:rPr>
        <w:t>人（郝振平</w:t>
      </w:r>
      <w:r>
        <w:rPr>
          <w:spacing w:val="-53"/>
        </w:rPr>
        <w:t> </w:t>
      </w:r>
      <w:r>
        <w:rPr/>
        <w:t>2018</w:t>
      </w:r>
      <w:r>
        <w:rPr>
          <w:spacing w:val="-53"/>
        </w:rPr>
        <w:t> </w:t>
      </w:r>
      <w:r>
        <w:rPr/>
        <w:t>年</w:t>
      </w:r>
      <w:r>
        <w:rPr>
          <w:spacing w:val="-55"/>
        </w:rPr>
        <w:t> </w:t>
      </w:r>
      <w:r>
        <w:rPr/>
        <w:t>1</w:t>
      </w:r>
      <w:r>
        <w:rPr>
          <w:spacing w:val="-53"/>
        </w:rPr>
        <w:t> </w:t>
      </w:r>
      <w:r>
        <w:rPr/>
        <w:t>月</w:t>
      </w:r>
      <w:r>
        <w:rPr>
          <w:spacing w:val="-55"/>
        </w:rPr>
        <w:t> </w:t>
      </w:r>
      <w:r>
        <w:rPr/>
        <w:t>24</w:t>
      </w:r>
      <w:r>
        <w:rPr>
          <w:spacing w:val="-53"/>
        </w:rPr>
        <w:t> </w:t>
      </w:r>
      <w:r>
        <w:rPr/>
        <w:t>日当</w:t>
      </w:r>
      <w:r>
        <w:rPr>
          <w:w w:val="100"/>
        </w:rPr>
        <w:t> </w:t>
      </w:r>
      <w:r>
        <w:rPr>
          <w:spacing w:val="-4"/>
          <w:w w:val="100"/>
        </w:rPr>
        <w:t>选，还需股东大会批准）。前三大股东各自提名或推荐并当选董事人数均未超过半数以上。</w:t>
      </w:r>
    </w:p>
    <w:p>
      <w:pPr>
        <w:pStyle w:val="BodyText"/>
        <w:spacing w:line="273" w:lineRule="auto" w:before="8"/>
        <w:ind w:left="153" w:right="101" w:firstLine="420"/>
        <w:jc w:val="left"/>
      </w:pPr>
      <w:r>
        <w:rPr>
          <w:spacing w:val="-2"/>
        </w:rPr>
        <w:t>综上，持有公司</w:t>
      </w:r>
      <w:r>
        <w:rPr>
          <w:spacing w:val="4"/>
        </w:rPr>
        <w:t> </w:t>
      </w:r>
      <w:r>
        <w:rPr>
          <w:spacing w:val="-2"/>
        </w:rPr>
        <w:t>5%以上股份的大股东鹰溪谷、中兆投资、通泰达都不能单独对公司形成控制，</w:t>
      </w:r>
      <w:r>
        <w:rPr>
          <w:w w:val="100"/>
        </w:rPr>
        <w:t> </w:t>
      </w:r>
      <w:r>
        <w:rPr/>
        <w:t>公司仍无控股股东或单一实际控制人。</w:t>
      </w:r>
    </w:p>
    <w:p>
      <w:pPr>
        <w:pStyle w:val="BodyText"/>
        <w:spacing w:line="273" w:lineRule="auto" w:before="101"/>
        <w:ind w:right="5444"/>
        <w:jc w:val="left"/>
      </w:pPr>
      <w:r>
        <w:rPr/>
        <w:t>2、本公司的子公司情况</w:t>
      </w:r>
      <w:r>
        <w:rPr>
          <w:w w:val="100"/>
        </w:rPr>
        <w:t> </w:t>
      </w:r>
      <w:r>
        <w:rPr/>
        <w:t>详见附注八、1</w:t>
      </w:r>
      <w:r>
        <w:rPr>
          <w:spacing w:val="-52"/>
        </w:rPr>
        <w:t> </w:t>
      </w:r>
      <w:r>
        <w:rPr/>
        <w:t>在子公司中的权益。</w:t>
      </w:r>
    </w:p>
    <w:p>
      <w:pPr>
        <w:pStyle w:val="BodyText"/>
        <w:spacing w:line="273" w:lineRule="auto" w:before="101"/>
        <w:ind w:right="5567"/>
        <w:jc w:val="left"/>
      </w:pPr>
      <w:r>
        <w:rPr>
          <w:spacing w:val="-2"/>
        </w:rPr>
        <w:t>3、本公司的合营和联营企业情况</w:t>
      </w:r>
      <w:r>
        <w:rPr>
          <w:spacing w:val="-76"/>
        </w:rPr>
        <w:t> </w:t>
      </w:r>
      <w:r>
        <w:rPr>
          <w:spacing w:val="-76"/>
        </w:rPr>
      </w:r>
      <w:r>
        <w:rPr/>
        <w:t>无</w:t>
      </w:r>
    </w:p>
    <w:p>
      <w:pPr>
        <w:pStyle w:val="BodyText"/>
        <w:spacing w:line="240" w:lineRule="auto" w:before="101"/>
        <w:ind w:right="168"/>
        <w:jc w:val="left"/>
      </w:pPr>
      <w:r>
        <w:rPr/>
        <w:t>4、其他关联方情况</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51"/>
        <w:gridCol w:w="3970"/>
        <w:gridCol w:w="2549"/>
      </w:tblGrid>
      <w:tr>
        <w:trPr>
          <w:trHeight w:val="350"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8"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r>
      <w:tr>
        <w:trPr>
          <w:trHeight w:val="350"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清远市长实建设有限公司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年重组收购交易对方控股子公司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91441802325159474B</w:t>
            </w:r>
          </w:p>
        </w:tc>
      </w:tr>
      <w:tr>
        <w:trPr>
          <w:trHeight w:val="350"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广东长实投资有限公司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年重组收购交易对方控股子公司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sz w:val="18"/>
              </w:rPr>
              <w:t>91441802699780126A</w:t>
            </w:r>
          </w:p>
        </w:tc>
      </w:tr>
      <w:tr>
        <w:trPr>
          <w:trHeight w:val="478"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公司董事长吴鹰是联动优势科技有限公司母公司</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海联金汇科技股份有限公司的董事</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 w:right="0"/>
              <w:jc w:val="center"/>
              <w:rPr>
                <w:rFonts w:ascii="宋体" w:hAnsi="宋体" w:cs="宋体" w:eastAsia="宋体" w:hint="default"/>
                <w:sz w:val="18"/>
                <w:szCs w:val="18"/>
              </w:rPr>
            </w:pPr>
            <w:r>
              <w:rPr>
                <w:rFonts w:ascii="宋体"/>
                <w:sz w:val="18"/>
              </w:rPr>
              <w:t>911100007533138376</w:t>
            </w:r>
          </w:p>
        </w:tc>
      </w:tr>
    </w:tbl>
    <w:p>
      <w:pPr>
        <w:pStyle w:val="BodyText"/>
        <w:spacing w:line="240" w:lineRule="auto" w:before="81"/>
        <w:ind w:right="168"/>
        <w:jc w:val="left"/>
      </w:pPr>
      <w:r>
        <w:rPr/>
        <w:t>5、关联方交易情况</w:t>
      </w:r>
    </w:p>
    <w:p>
      <w:pPr>
        <w:pStyle w:val="BodyText"/>
        <w:spacing w:line="240" w:lineRule="auto" w:before="35"/>
        <w:ind w:right="168"/>
        <w:jc w:val="left"/>
      </w:pPr>
      <w:r>
        <w:rPr/>
        <w:t>（1）购销商品、提供和接受劳务的关联交易</w:t>
      </w:r>
    </w:p>
    <w:p>
      <w:pPr>
        <w:pStyle w:val="BodyText"/>
        <w:spacing w:line="240" w:lineRule="auto" w:before="37"/>
        <w:ind w:right="168"/>
        <w:jc w:val="left"/>
      </w:pPr>
      <w:r>
        <w:rPr/>
        <w:t>①采购商品情况</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95"/>
        <w:gridCol w:w="2268"/>
        <w:gridCol w:w="1982"/>
        <w:gridCol w:w="2126"/>
      </w:tblGrid>
      <w:tr>
        <w:trPr>
          <w:trHeight w:val="35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短信及流量采购</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8" w:right="0"/>
              <w:jc w:val="left"/>
              <w:rPr>
                <w:rFonts w:ascii="宋体" w:hAnsi="宋体" w:cs="宋体" w:eastAsia="宋体" w:hint="default"/>
                <w:sz w:val="18"/>
                <w:szCs w:val="18"/>
              </w:rPr>
            </w:pPr>
            <w:r>
              <w:rPr>
                <w:rFonts w:ascii="宋体"/>
                <w:sz w:val="18"/>
              </w:rPr>
              <w:t>339,191.87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5" w:right="0"/>
              <w:jc w:val="left"/>
              <w:rPr>
                <w:rFonts w:ascii="宋体" w:hAnsi="宋体" w:cs="宋体" w:eastAsia="宋体" w:hint="default"/>
                <w:sz w:val="18"/>
                <w:szCs w:val="18"/>
              </w:rPr>
            </w:pPr>
            <w:r>
              <w:rPr>
                <w:rFonts w:ascii="宋体"/>
                <w:sz w:val="18"/>
              </w:rPr>
              <w:t>1,169,512.30</w:t>
            </w:r>
          </w:p>
        </w:tc>
      </w:tr>
    </w:tbl>
    <w:p>
      <w:pPr>
        <w:pStyle w:val="BodyText"/>
        <w:spacing w:line="240" w:lineRule="auto" w:before="81"/>
        <w:ind w:right="168"/>
        <w:jc w:val="left"/>
      </w:pPr>
      <w:r>
        <w:rPr/>
        <w:t>②提供劳务情况</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95"/>
        <w:gridCol w:w="2268"/>
        <w:gridCol w:w="1982"/>
        <w:gridCol w:w="2126"/>
      </w:tblGrid>
      <w:tr>
        <w:trPr>
          <w:trHeight w:val="35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8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footerReference w:type="default" r:id="rId68"/>
          <w:pgSz w:w="11910" w:h="16840"/>
          <w:pgMar w:footer="1219" w:header="884" w:top="1140" w:bottom="1400" w:left="1320" w:right="1240"/>
          <w:pgNumType w:start="12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695"/>
        <w:gridCol w:w="2268"/>
        <w:gridCol w:w="1982"/>
        <w:gridCol w:w="2126"/>
      </w:tblGrid>
      <w:tr>
        <w:trPr>
          <w:trHeight w:val="35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短信及流量采购</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80" w:right="0"/>
              <w:jc w:val="left"/>
              <w:rPr>
                <w:rFonts w:ascii="宋体" w:hAnsi="宋体" w:cs="宋体" w:eastAsia="宋体" w:hint="default"/>
                <w:sz w:val="18"/>
                <w:szCs w:val="18"/>
              </w:rPr>
            </w:pPr>
            <w:r>
              <w:rPr>
                <w:rFonts w:ascii="宋体"/>
                <w:sz w:val="18"/>
              </w:rPr>
              <w:t>63,985,615.97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24" w:right="0"/>
              <w:jc w:val="left"/>
              <w:rPr>
                <w:rFonts w:ascii="宋体" w:hAnsi="宋体" w:cs="宋体" w:eastAsia="宋体" w:hint="default"/>
                <w:sz w:val="18"/>
                <w:szCs w:val="18"/>
              </w:rPr>
            </w:pPr>
            <w:r>
              <w:rPr>
                <w:rFonts w:ascii="宋体"/>
                <w:sz w:val="18"/>
              </w:rPr>
              <w:t>25,529,835.34</w:t>
            </w:r>
          </w:p>
        </w:tc>
      </w:tr>
    </w:tbl>
    <w:p>
      <w:pPr>
        <w:pStyle w:val="BodyText"/>
        <w:spacing w:line="240" w:lineRule="auto" w:before="81"/>
        <w:ind w:right="168"/>
        <w:jc w:val="left"/>
      </w:pPr>
      <w:r>
        <w:rPr/>
        <w:t>本公司子公司创世漫道与联动优势科技有限公司的采购及销售均根据市场价格确定。</w:t>
      </w:r>
    </w:p>
    <w:p>
      <w:pPr>
        <w:pStyle w:val="BodyText"/>
        <w:spacing w:line="273" w:lineRule="auto" w:before="37"/>
        <w:ind w:right="5567"/>
        <w:jc w:val="left"/>
      </w:pPr>
      <w:r>
        <w:rPr>
          <w:spacing w:val="-2"/>
        </w:rPr>
        <w:t>（2）关联受托管理/委托管理情况</w:t>
      </w:r>
      <w:r>
        <w:rPr>
          <w:spacing w:val="-73"/>
        </w:rPr>
        <w:t> </w:t>
      </w:r>
      <w:r>
        <w:rPr>
          <w:spacing w:val="-73"/>
        </w:rPr>
      </w:r>
      <w:r>
        <w:rPr/>
        <w:t>无</w:t>
      </w:r>
    </w:p>
    <w:p>
      <w:pPr>
        <w:pStyle w:val="BodyText"/>
        <w:spacing w:line="273" w:lineRule="auto"/>
        <w:ind w:right="6976"/>
        <w:jc w:val="left"/>
      </w:pPr>
      <w:r>
        <w:rPr>
          <w:spacing w:val="-1"/>
        </w:rPr>
        <w:t>（3）关联承包情况</w:t>
      </w:r>
      <w:r>
        <w:rPr>
          <w:spacing w:val="-95"/>
        </w:rPr>
        <w:t> </w:t>
      </w:r>
      <w:r>
        <w:rPr>
          <w:spacing w:val="-95"/>
        </w:rPr>
      </w:r>
      <w:r>
        <w:rPr/>
        <w:t>无</w:t>
      </w:r>
    </w:p>
    <w:p>
      <w:pPr>
        <w:pStyle w:val="BodyText"/>
        <w:spacing w:line="273" w:lineRule="auto"/>
        <w:ind w:right="6976"/>
        <w:jc w:val="left"/>
      </w:pPr>
      <w:r>
        <w:rPr>
          <w:spacing w:val="-1"/>
        </w:rPr>
        <w:t>（4）关联租赁情况</w:t>
      </w:r>
      <w:r>
        <w:rPr>
          <w:spacing w:val="-95"/>
        </w:rPr>
        <w:t> </w:t>
      </w:r>
      <w:r>
        <w:rPr>
          <w:spacing w:val="-95"/>
        </w:rPr>
      </w:r>
      <w:r>
        <w:rPr/>
        <w:t>本公司作为承租人</w:t>
      </w:r>
    </w:p>
    <w:tbl>
      <w:tblPr>
        <w:tblW w:w="0" w:type="auto"/>
        <w:jc w:val="left"/>
        <w:tblInd w:w="148" w:type="dxa"/>
        <w:tblLayout w:type="fixed"/>
        <w:tblCellMar>
          <w:top w:w="0" w:type="dxa"/>
          <w:left w:w="0" w:type="dxa"/>
          <w:bottom w:w="0" w:type="dxa"/>
          <w:right w:w="0" w:type="dxa"/>
        </w:tblCellMar>
        <w:tblLook w:val="01E0"/>
      </w:tblPr>
      <w:tblGrid>
        <w:gridCol w:w="3149"/>
        <w:gridCol w:w="1781"/>
        <w:gridCol w:w="2054"/>
        <w:gridCol w:w="2086"/>
      </w:tblGrid>
      <w:tr>
        <w:trPr>
          <w:trHeight w:val="35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5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广东长实投资有限公司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办公室</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23" w:right="0"/>
              <w:jc w:val="left"/>
              <w:rPr>
                <w:rFonts w:ascii="宋体" w:hAnsi="宋体" w:cs="宋体" w:eastAsia="宋体" w:hint="default"/>
                <w:sz w:val="18"/>
                <w:szCs w:val="18"/>
              </w:rPr>
            </w:pPr>
            <w:r>
              <w:rPr>
                <w:rFonts w:ascii="宋体"/>
                <w:sz w:val="18"/>
              </w:rPr>
              <w:t>498,540.00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54" w:right="0"/>
              <w:jc w:val="left"/>
              <w:rPr>
                <w:rFonts w:ascii="宋体" w:hAnsi="宋体" w:cs="宋体" w:eastAsia="宋体" w:hint="default"/>
                <w:sz w:val="18"/>
                <w:szCs w:val="18"/>
              </w:rPr>
            </w:pPr>
            <w:r>
              <w:rPr>
                <w:rFonts w:ascii="宋体"/>
                <w:sz w:val="18"/>
              </w:rPr>
              <w:t>480,000.00</w:t>
            </w:r>
          </w:p>
        </w:tc>
      </w:tr>
    </w:tbl>
    <w:p>
      <w:pPr>
        <w:spacing w:line="240" w:lineRule="auto" w:before="13"/>
        <w:rPr>
          <w:rFonts w:ascii="宋体" w:hAnsi="宋体" w:cs="宋体" w:eastAsia="宋体" w:hint="default"/>
          <w:sz w:val="4"/>
          <w:szCs w:val="4"/>
        </w:rPr>
      </w:pPr>
    </w:p>
    <w:p>
      <w:pPr>
        <w:pStyle w:val="BodyText"/>
        <w:spacing w:line="240" w:lineRule="auto" w:before="36"/>
        <w:ind w:right="168"/>
        <w:jc w:val="left"/>
      </w:pPr>
      <w:r>
        <w:rPr/>
        <w:t>子公司长实科技与广东长实投资有限公司的租赁交易以市场价格确定。</w:t>
      </w:r>
    </w:p>
    <w:p>
      <w:pPr>
        <w:pStyle w:val="BodyText"/>
        <w:spacing w:line="271" w:lineRule="auto" w:before="131"/>
        <w:ind w:right="6976"/>
        <w:jc w:val="left"/>
      </w:pPr>
      <w:r>
        <w:rPr>
          <w:spacing w:val="-1"/>
        </w:rPr>
        <w:t>（5）关联担保情况</w:t>
      </w:r>
      <w:r>
        <w:rPr>
          <w:spacing w:val="-95"/>
        </w:rPr>
        <w:t> </w:t>
      </w:r>
      <w:r>
        <w:rPr>
          <w:spacing w:val="-95"/>
        </w:rPr>
      </w:r>
      <w:r>
        <w:rPr/>
        <w:t>无</w:t>
      </w:r>
    </w:p>
    <w:p>
      <w:pPr>
        <w:pStyle w:val="BodyText"/>
        <w:spacing w:line="240" w:lineRule="auto" w:before="10"/>
        <w:ind w:right="168"/>
        <w:jc w:val="left"/>
      </w:pPr>
      <w:r>
        <w:rPr/>
        <w:t>（6）其他关联交易</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719"/>
        <w:gridCol w:w="2335"/>
        <w:gridCol w:w="2062"/>
        <w:gridCol w:w="1954"/>
      </w:tblGrid>
      <w:tr>
        <w:trPr>
          <w:trHeight w:val="355"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6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5"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清远市长实建设有限公司</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分立产生的资金代收</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6" w:right="0"/>
              <w:jc w:val="left"/>
              <w:rPr>
                <w:rFonts w:ascii="宋体" w:hAnsi="宋体" w:cs="宋体" w:eastAsia="宋体" w:hint="default"/>
                <w:sz w:val="18"/>
                <w:szCs w:val="18"/>
              </w:rPr>
            </w:pPr>
            <w:r>
              <w:rPr>
                <w:rFonts w:ascii="宋体"/>
                <w:sz w:val="18"/>
              </w:rPr>
              <w:t>64,251,699.94</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60" w:right="0"/>
              <w:jc w:val="left"/>
              <w:rPr>
                <w:rFonts w:ascii="宋体" w:hAnsi="宋体" w:cs="宋体" w:eastAsia="宋体" w:hint="default"/>
                <w:sz w:val="18"/>
                <w:szCs w:val="18"/>
              </w:rPr>
            </w:pPr>
            <w:r>
              <w:rPr>
                <w:rFonts w:ascii="宋体"/>
                <w:sz w:val="18"/>
              </w:rPr>
              <w:t>132,486,699.07</w:t>
            </w:r>
          </w:p>
        </w:tc>
      </w:tr>
    </w:tbl>
    <w:p>
      <w:pPr>
        <w:pStyle w:val="BodyText"/>
        <w:spacing w:line="544" w:lineRule="auto" w:before="81"/>
        <w:ind w:right="168"/>
        <w:jc w:val="left"/>
      </w:pPr>
      <w:r>
        <w:rPr>
          <w:spacing w:val="-2"/>
        </w:rPr>
        <w:t>本公司子公司长实科技与清远市长实建设有限公司的关联交易只限于代收代付，不涉及定价。</w:t>
      </w:r>
      <w:r>
        <w:rPr>
          <w:spacing w:val="-32"/>
        </w:rPr>
        <w:t> </w:t>
      </w:r>
      <w:r>
        <w:rPr>
          <w:spacing w:val="-32"/>
        </w:rPr>
      </w:r>
      <w:r>
        <w:rPr/>
        <w:t>6、关联方应收应付款项</w:t>
      </w:r>
    </w:p>
    <w:p>
      <w:pPr>
        <w:pStyle w:val="BodyText"/>
        <w:spacing w:line="240" w:lineRule="auto" w:before="82"/>
        <w:ind w:right="168"/>
        <w:jc w:val="left"/>
      </w:pPr>
      <w:r>
        <w:rPr/>
        <w:t>（1）应收项目</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20"/>
        <w:gridCol w:w="1558"/>
        <w:gridCol w:w="1526"/>
        <w:gridCol w:w="1594"/>
        <w:gridCol w:w="1272"/>
      </w:tblGrid>
      <w:tr>
        <w:trPr>
          <w:trHeight w:val="350" w:hRule="exact"/>
        </w:trPr>
        <w:tc>
          <w:tcPr>
            <w:tcW w:w="31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12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38,492,087.60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sz w:val="18"/>
              </w:rPr>
              <w:t>2,057,229.31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8" w:right="0"/>
              <w:jc w:val="left"/>
              <w:rPr>
                <w:rFonts w:ascii="宋体" w:hAnsi="宋体" w:cs="宋体" w:eastAsia="宋体" w:hint="default"/>
                <w:sz w:val="18"/>
                <w:szCs w:val="18"/>
              </w:rPr>
            </w:pPr>
            <w:r>
              <w:rPr>
                <w:rFonts w:ascii="宋体"/>
                <w:sz w:val="18"/>
              </w:rPr>
              <w:t>17,397,567.85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869,878.39</w:t>
            </w:r>
          </w:p>
        </w:tc>
      </w:tr>
      <w:tr>
        <w:trPr>
          <w:trHeight w:val="35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38,492,087.60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sz w:val="18"/>
              </w:rPr>
              <w:t>2,057,229.31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8" w:right="0"/>
              <w:jc w:val="left"/>
              <w:rPr>
                <w:rFonts w:ascii="宋体" w:hAnsi="宋体" w:cs="宋体" w:eastAsia="宋体" w:hint="default"/>
                <w:sz w:val="18"/>
                <w:szCs w:val="18"/>
              </w:rPr>
            </w:pPr>
            <w:r>
              <w:rPr>
                <w:rFonts w:ascii="宋体"/>
                <w:sz w:val="18"/>
              </w:rPr>
              <w:t>17,397,567.85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869,878.39</w:t>
            </w:r>
          </w:p>
        </w:tc>
      </w:tr>
    </w:tbl>
    <w:p>
      <w:pPr>
        <w:pStyle w:val="BodyText"/>
        <w:spacing w:line="240" w:lineRule="auto" w:before="81"/>
        <w:ind w:right="168"/>
        <w:jc w:val="left"/>
      </w:pPr>
      <w:r>
        <w:rPr/>
        <w:t>（2）应付项目</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545"/>
        <w:gridCol w:w="2616"/>
        <w:gridCol w:w="2909"/>
      </w:tblGrid>
      <w:tr>
        <w:trPr>
          <w:trHeight w:val="35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16"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清远市长实建设有限公司</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13,682,601.67</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26,765,414.46</w:t>
            </w:r>
          </w:p>
        </w:tc>
      </w:tr>
      <w:tr>
        <w:trPr>
          <w:trHeight w:val="35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13,682,601.67</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26,765,414.46</w:t>
            </w:r>
          </w:p>
        </w:tc>
      </w:tr>
    </w:tbl>
    <w:p>
      <w:pPr>
        <w:pStyle w:val="BodyText"/>
        <w:spacing w:line="271" w:lineRule="auto" w:before="81"/>
        <w:ind w:right="7274"/>
        <w:jc w:val="left"/>
      </w:pPr>
      <w:r>
        <w:rPr/>
        <w:t>7、关联方承诺</w:t>
      </w:r>
      <w:r>
        <w:rPr>
          <w:w w:val="100"/>
        </w:rPr>
        <w:t> </w:t>
      </w:r>
      <w:r>
        <w:rPr/>
        <w:t>无</w:t>
      </w:r>
    </w:p>
    <w:p>
      <w:pPr>
        <w:spacing w:line="240" w:lineRule="auto" w:before="8"/>
        <w:rPr>
          <w:rFonts w:ascii="宋体" w:hAnsi="宋体" w:cs="宋体" w:eastAsia="宋体" w:hint="default"/>
          <w:sz w:val="24"/>
          <w:szCs w:val="24"/>
        </w:rPr>
      </w:pPr>
    </w:p>
    <w:p>
      <w:pPr>
        <w:spacing w:line="273" w:lineRule="auto" w:before="0"/>
        <w:ind w:left="573" w:right="7274" w:firstLine="2"/>
        <w:jc w:val="left"/>
        <w:rPr>
          <w:rFonts w:ascii="宋体" w:hAnsi="宋体" w:cs="宋体" w:eastAsia="宋体" w:hint="default"/>
          <w:sz w:val="21"/>
          <w:szCs w:val="21"/>
        </w:rPr>
      </w:pPr>
      <w:r>
        <w:rPr>
          <w:rFonts w:ascii="宋体" w:hAnsi="宋体" w:cs="宋体" w:eastAsia="宋体" w:hint="default"/>
          <w:b/>
          <w:bCs/>
          <w:sz w:val="21"/>
          <w:szCs w:val="21"/>
        </w:rPr>
        <w:t>十一、股份支付</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6"/>
        <w:rPr>
          <w:rFonts w:ascii="宋体" w:hAnsi="宋体" w:cs="宋体" w:eastAsia="宋体" w:hint="default"/>
          <w:sz w:val="24"/>
          <w:szCs w:val="24"/>
        </w:rPr>
      </w:pPr>
    </w:p>
    <w:p>
      <w:pPr>
        <w:spacing w:line="355" w:lineRule="auto" w:before="0"/>
        <w:ind w:left="573" w:right="6642" w:firstLine="2"/>
        <w:jc w:val="left"/>
        <w:rPr>
          <w:rFonts w:ascii="宋体" w:hAnsi="宋体" w:cs="宋体" w:eastAsia="宋体" w:hint="default"/>
          <w:sz w:val="21"/>
          <w:szCs w:val="21"/>
        </w:rPr>
      </w:pPr>
      <w:r>
        <w:rPr>
          <w:rFonts w:ascii="宋体" w:hAnsi="宋体" w:cs="宋体" w:eastAsia="宋体" w:hint="default"/>
          <w:b/>
          <w:bCs/>
          <w:sz w:val="21"/>
          <w:szCs w:val="21"/>
        </w:rPr>
        <w:t>十二、承诺及或有事项</w:t>
      </w:r>
      <w:r>
        <w:rPr>
          <w:rFonts w:ascii="宋体" w:hAnsi="宋体" w:cs="宋体" w:eastAsia="宋体" w:hint="default"/>
          <w:b/>
          <w:bCs/>
          <w:w w:val="100"/>
          <w:sz w:val="21"/>
          <w:szCs w:val="21"/>
        </w:rPr>
        <w:t> </w:t>
      </w:r>
      <w:r>
        <w:rPr>
          <w:rFonts w:ascii="宋体" w:hAnsi="宋体" w:cs="宋体" w:eastAsia="宋体" w:hint="default"/>
          <w:sz w:val="21"/>
          <w:szCs w:val="21"/>
        </w:rPr>
        <w:t>1、重大承诺事项</w:t>
      </w:r>
    </w:p>
    <w:p>
      <w:pPr>
        <w:pStyle w:val="BodyText"/>
        <w:spacing w:line="211" w:lineRule="exact" w:before="0"/>
        <w:ind w:right="168"/>
        <w:jc w:val="left"/>
      </w:pPr>
      <w:r>
        <w:rPr/>
        <w:t>截至</w:t>
      </w:r>
      <w:r>
        <w:rPr>
          <w:spacing w:val="-53"/>
        </w:rPr>
        <w:t> </w:t>
      </w:r>
      <w:r>
        <w:rPr/>
        <w:t>2017</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日，本公司无需要披露的重大承诺事项。</w:t>
      </w:r>
    </w:p>
    <w:p>
      <w:pPr>
        <w:spacing w:after="0" w:line="211" w:lineRule="exact"/>
        <w:jc w:val="left"/>
        <w:sectPr>
          <w:pgSz w:w="11910" w:h="16840"/>
          <w:pgMar w:header="884" w:footer="1219" w:top="1140" w:bottom="1400" w:left="1320" w:right="1240"/>
        </w:sectPr>
      </w:pPr>
    </w:p>
    <w:p>
      <w:pPr>
        <w:pStyle w:val="BodyText"/>
        <w:spacing w:line="240" w:lineRule="auto" w:before="134"/>
        <w:ind w:right="46"/>
        <w:jc w:val="left"/>
      </w:pPr>
      <w:bookmarkStart w:name="（1）重大重组事项进展情况 " w:id="6"/>
      <w:bookmarkEnd w:id="6"/>
      <w:r>
        <w:rPr/>
      </w:r>
      <w:bookmarkStart w:name="（2）设立投资基金 " w:id="7"/>
      <w:bookmarkEnd w:id="7"/>
      <w:r>
        <w:rPr/>
      </w:r>
      <w:r>
        <w:rPr/>
        <w:t>2、或有事项</w:t>
      </w:r>
    </w:p>
    <w:p>
      <w:pPr>
        <w:pStyle w:val="BodyText"/>
        <w:spacing w:line="240" w:lineRule="auto" w:before="35"/>
        <w:ind w:right="46"/>
        <w:jc w:val="left"/>
      </w:pPr>
      <w:r>
        <w:rPr/>
        <w:t>截至</w:t>
      </w:r>
      <w:r>
        <w:rPr>
          <w:spacing w:val="-53"/>
        </w:rPr>
        <w:t> </w:t>
      </w:r>
      <w:r>
        <w:rPr/>
        <w:t>2017</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日，本公司无需要披露的重大或有事项。</w:t>
      </w:r>
    </w:p>
    <w:p>
      <w:pPr>
        <w:spacing w:line="240" w:lineRule="auto" w:before="9"/>
        <w:rPr>
          <w:rFonts w:ascii="宋体" w:hAnsi="宋体" w:cs="宋体" w:eastAsia="宋体" w:hint="default"/>
          <w:sz w:val="26"/>
          <w:szCs w:val="26"/>
        </w:rPr>
      </w:pPr>
    </w:p>
    <w:p>
      <w:pPr>
        <w:spacing w:line="273" w:lineRule="auto" w:before="0"/>
        <w:ind w:left="573" w:right="6260" w:firstLine="2"/>
        <w:jc w:val="left"/>
        <w:rPr>
          <w:rFonts w:ascii="宋体" w:hAnsi="宋体" w:cs="宋体" w:eastAsia="宋体" w:hint="default"/>
          <w:sz w:val="21"/>
          <w:szCs w:val="21"/>
        </w:rPr>
      </w:pPr>
      <w:r>
        <w:rPr>
          <w:rFonts w:ascii="宋体" w:hAnsi="宋体" w:cs="宋体" w:eastAsia="宋体" w:hint="default"/>
          <w:b/>
          <w:bCs/>
          <w:sz w:val="21"/>
          <w:szCs w:val="21"/>
        </w:rPr>
        <w:t>十三、资产负债表日后事项</w:t>
      </w:r>
      <w:r>
        <w:rPr>
          <w:rFonts w:ascii="宋体" w:hAnsi="宋体" w:cs="宋体" w:eastAsia="宋体" w:hint="default"/>
          <w:b/>
          <w:bCs/>
          <w:w w:val="100"/>
          <w:sz w:val="21"/>
          <w:szCs w:val="21"/>
        </w:rPr>
        <w:t> </w:t>
      </w:r>
      <w:r>
        <w:rPr>
          <w:rFonts w:ascii="宋体" w:hAnsi="宋体" w:cs="宋体" w:eastAsia="宋体" w:hint="default"/>
          <w:sz w:val="21"/>
          <w:szCs w:val="21"/>
        </w:rPr>
        <w:t>1、重要的非调整事项</w:t>
      </w:r>
    </w:p>
    <w:p>
      <w:pPr>
        <w:pStyle w:val="BodyText"/>
        <w:spacing w:line="240" w:lineRule="auto" w:before="94"/>
        <w:ind w:left="636" w:right="46"/>
        <w:jc w:val="left"/>
      </w:pPr>
      <w:r>
        <w:rPr/>
        <w:t>（1）重大重组事项进展情况</w:t>
      </w:r>
    </w:p>
    <w:p>
      <w:pPr>
        <w:pStyle w:val="BodyText"/>
        <w:spacing w:line="350" w:lineRule="auto" w:before="126"/>
        <w:ind w:left="153" w:right="46" w:firstLine="420"/>
        <w:jc w:val="left"/>
      </w:pPr>
      <w:r>
        <w:rPr/>
        <w:t>①</w:t>
      </w:r>
      <w:r>
        <w:rPr>
          <w:spacing w:val="18"/>
        </w:rPr>
        <w:t> </w:t>
      </w:r>
      <w:r>
        <w:rPr/>
        <w:t>2017</w:t>
      </w:r>
      <w:r>
        <w:rPr>
          <w:spacing w:val="-44"/>
        </w:rPr>
        <w:t> </w:t>
      </w:r>
      <w:r>
        <w:rPr/>
        <w:t>年</w:t>
      </w:r>
      <w:r>
        <w:rPr>
          <w:spacing w:val="-47"/>
        </w:rPr>
        <w:t> </w:t>
      </w:r>
      <w:r>
        <w:rPr/>
        <w:t>11</w:t>
      </w:r>
      <w:r>
        <w:rPr>
          <w:spacing w:val="-47"/>
        </w:rPr>
        <w:t> </w:t>
      </w:r>
      <w:r>
        <w:rPr/>
        <w:t>月</w:t>
      </w:r>
      <w:r>
        <w:rPr>
          <w:spacing w:val="-44"/>
        </w:rPr>
        <w:t> </w:t>
      </w:r>
      <w:r>
        <w:rPr/>
        <w:t>1</w:t>
      </w:r>
      <w:r>
        <w:rPr>
          <w:spacing w:val="-47"/>
        </w:rPr>
        <w:t> </w:t>
      </w:r>
      <w:r>
        <w:rPr>
          <w:spacing w:val="-4"/>
        </w:rPr>
        <w:t>日公司披露了《公司发行股份及支付现金购买资产并募集配套资金暨关联交</w:t>
      </w:r>
      <w:r>
        <w:rPr>
          <w:w w:val="100"/>
        </w:rPr>
        <w:t> </w:t>
      </w:r>
      <w:r>
        <w:rPr/>
        <w:t>易预案(修订稿)》(简称《重组预案》)及复牌公告。</w:t>
      </w:r>
    </w:p>
    <w:p>
      <w:pPr>
        <w:pStyle w:val="BodyText"/>
        <w:spacing w:line="350" w:lineRule="auto" w:before="27"/>
        <w:ind w:left="153" w:right="210" w:firstLine="420"/>
        <w:jc w:val="both"/>
      </w:pPr>
      <w:r>
        <w:rPr/>
        <w:t>②2018</w:t>
      </w:r>
      <w:r>
        <w:rPr>
          <w:spacing w:val="-46"/>
        </w:rPr>
        <w:t> </w:t>
      </w:r>
      <w:r>
        <w:rPr/>
        <w:t>年</w:t>
      </w:r>
      <w:r>
        <w:rPr>
          <w:spacing w:val="-46"/>
        </w:rPr>
        <w:t> </w:t>
      </w:r>
      <w:r>
        <w:rPr/>
        <w:t>3</w:t>
      </w:r>
      <w:r>
        <w:rPr>
          <w:spacing w:val="-49"/>
        </w:rPr>
        <w:t> </w:t>
      </w:r>
      <w:r>
        <w:rPr/>
        <w:t>月</w:t>
      </w:r>
      <w:r>
        <w:rPr>
          <w:spacing w:val="-46"/>
        </w:rPr>
        <w:t> </w:t>
      </w:r>
      <w:r>
        <w:rPr/>
        <w:t>27</w:t>
      </w:r>
      <w:r>
        <w:rPr>
          <w:spacing w:val="-46"/>
        </w:rPr>
        <w:t> </w:t>
      </w:r>
      <w:r>
        <w:rPr/>
        <w:t>日，公司董事会审议通过《关于本次公司发行股份购买资产并募集配套资金</w:t>
      </w:r>
      <w:r>
        <w:rPr>
          <w:w w:val="100"/>
        </w:rPr>
        <w:t> </w:t>
      </w:r>
      <w:r>
        <w:rPr>
          <w:spacing w:val="-2"/>
          <w:w w:val="100"/>
        </w:rPr>
        <w:t>暨重大资产重组方案调整构成重大调整的议案》，并披露《发行股份及支付现金购买资产并募集配</w:t>
      </w:r>
      <w:r>
        <w:rPr>
          <w:spacing w:val="-92"/>
          <w:w w:val="100"/>
        </w:rPr>
        <w:t> </w:t>
      </w:r>
      <w:r>
        <w:rPr>
          <w:spacing w:val="-92"/>
          <w:w w:val="100"/>
        </w:rPr>
      </w:r>
      <w:r>
        <w:rPr>
          <w:spacing w:val="-14"/>
          <w:w w:val="100"/>
        </w:rPr>
        <w:t>套资金暨关联交易报告书（草案）》；</w:t>
      </w:r>
    </w:p>
    <w:p>
      <w:pPr>
        <w:pStyle w:val="BodyText"/>
        <w:spacing w:line="350" w:lineRule="auto" w:before="27"/>
        <w:ind w:left="153" w:right="46" w:firstLine="420"/>
        <w:jc w:val="left"/>
      </w:pPr>
      <w:r>
        <w:rPr>
          <w:spacing w:val="-2"/>
        </w:rPr>
        <w:t>③有待公司召开股东大会审议相关重组事项。股东大会审议通过后，按照相关法律法规要求，</w:t>
      </w:r>
      <w:r>
        <w:rPr>
          <w:w w:val="100"/>
        </w:rPr>
        <w:t> </w:t>
      </w:r>
      <w:r>
        <w:rPr/>
        <w:t>报证监会相关部门审批。</w:t>
      </w:r>
    </w:p>
    <w:p>
      <w:pPr>
        <w:pStyle w:val="BodyText"/>
        <w:spacing w:line="240" w:lineRule="auto" w:before="29"/>
        <w:ind w:left="636" w:right="46"/>
        <w:jc w:val="left"/>
      </w:pPr>
      <w:r>
        <w:rPr/>
        <w:t>（2）设立投资基金</w:t>
      </w:r>
    </w:p>
    <w:p>
      <w:pPr>
        <w:pStyle w:val="BodyText"/>
        <w:spacing w:line="350" w:lineRule="auto" w:before="123"/>
        <w:ind w:left="153" w:right="212" w:firstLine="420"/>
        <w:jc w:val="both"/>
      </w:pPr>
      <w:r>
        <w:rPr>
          <w:w w:val="100"/>
        </w:rPr>
        <w:t>2018</w:t>
      </w:r>
      <w:r>
        <w:rPr>
          <w:spacing w:val="-51"/>
          <w:w w:val="100"/>
        </w:rPr>
        <w:t> </w:t>
      </w:r>
      <w:r>
        <w:rPr>
          <w:w w:val="100"/>
        </w:rPr>
        <w:t>年</w:t>
      </w:r>
      <w:r>
        <w:rPr>
          <w:spacing w:val="-49"/>
          <w:w w:val="100"/>
        </w:rPr>
        <w:t> </w:t>
      </w:r>
      <w:r>
        <w:rPr>
          <w:w w:val="100"/>
        </w:rPr>
        <w:t>2</w:t>
      </w:r>
      <w:r>
        <w:rPr>
          <w:spacing w:val="-51"/>
          <w:w w:val="100"/>
        </w:rPr>
        <w:t> </w:t>
      </w:r>
      <w:r>
        <w:rPr>
          <w:w w:val="100"/>
        </w:rPr>
        <w:t>月</w:t>
      </w:r>
      <w:r>
        <w:rPr>
          <w:spacing w:val="-49"/>
          <w:w w:val="100"/>
        </w:rPr>
        <w:t> </w:t>
      </w:r>
      <w:r>
        <w:rPr>
          <w:w w:val="100"/>
        </w:rPr>
        <w:t>9</w:t>
      </w:r>
      <w:r>
        <w:rPr>
          <w:spacing w:val="-51"/>
          <w:w w:val="100"/>
        </w:rPr>
        <w:t> </w:t>
      </w:r>
      <w:r>
        <w:rPr>
          <w:spacing w:val="-10"/>
          <w:w w:val="100"/>
        </w:rPr>
        <w:t>日，公司与上海稳实投资管理中心（普通合伙）（简称“稳实投资”）、海联金汇</w:t>
      </w:r>
      <w:r>
        <w:rPr>
          <w:w w:val="100"/>
        </w:rPr>
        <w:t> </w:t>
      </w:r>
      <w:r>
        <w:rPr>
          <w:spacing w:val="-2"/>
        </w:rPr>
        <w:t>科技股份有限公司（简称：海联金汇、股票代码：002537）在北京签署了《河北雄安泽兴股权投资</w:t>
      </w:r>
      <w:r>
        <w:rPr>
          <w:spacing w:val="-42"/>
        </w:rPr>
        <w:t> </w:t>
      </w:r>
      <w:r>
        <w:rPr>
          <w:spacing w:val="-42"/>
        </w:rPr>
      </w:r>
      <w:r>
        <w:rPr>
          <w:spacing w:val="-2"/>
          <w:w w:val="100"/>
        </w:rPr>
        <w:t>基金（有限合伙）合伙协议》，公司拟在雄安新区，与稳实投资、海联金汇设立股权投资基金（并</w:t>
      </w:r>
      <w:r>
        <w:rPr>
          <w:spacing w:val="-93"/>
          <w:w w:val="100"/>
        </w:rPr>
        <w:t> </w:t>
      </w:r>
      <w:r>
        <w:rPr>
          <w:spacing w:val="-93"/>
          <w:w w:val="100"/>
        </w:rPr>
      </w:r>
      <w:r>
        <w:rPr>
          <w:spacing w:val="-8"/>
          <w:w w:val="100"/>
        </w:rPr>
        <w:t>购/产业），各方拟认缴出资额：稳实投资</w:t>
      </w:r>
      <w:r>
        <w:rPr>
          <w:spacing w:val="-49"/>
          <w:w w:val="100"/>
        </w:rPr>
        <w:t> </w:t>
      </w:r>
      <w:r>
        <w:rPr>
          <w:spacing w:val="-1"/>
          <w:w w:val="100"/>
        </w:rPr>
        <w:t>100</w:t>
      </w:r>
      <w:r>
        <w:rPr>
          <w:spacing w:val="-49"/>
          <w:w w:val="100"/>
        </w:rPr>
        <w:t> </w:t>
      </w:r>
      <w:r>
        <w:rPr>
          <w:spacing w:val="-10"/>
          <w:w w:val="100"/>
        </w:rPr>
        <w:t>万元（人民币、下同），本公司</w:t>
      </w:r>
      <w:r>
        <w:rPr>
          <w:spacing w:val="-49"/>
          <w:w w:val="100"/>
        </w:rPr>
        <w:t> </w:t>
      </w:r>
      <w:r>
        <w:rPr>
          <w:spacing w:val="-1"/>
          <w:w w:val="100"/>
        </w:rPr>
        <w:t>15,000</w:t>
      </w:r>
      <w:r>
        <w:rPr>
          <w:spacing w:val="-51"/>
          <w:w w:val="100"/>
        </w:rPr>
        <w:t> </w:t>
      </w:r>
      <w:r>
        <w:rPr>
          <w:spacing w:val="-2"/>
          <w:w w:val="100"/>
        </w:rPr>
        <w:t>万元，海联金</w:t>
      </w:r>
      <w:r>
        <w:rPr>
          <w:spacing w:val="-103"/>
          <w:w w:val="100"/>
        </w:rPr>
        <w:t> </w:t>
      </w:r>
      <w:r>
        <w:rPr>
          <w:spacing w:val="-103"/>
          <w:w w:val="100"/>
        </w:rPr>
      </w:r>
      <w:r>
        <w:rPr/>
        <w:t>汇</w:t>
      </w:r>
      <w:r>
        <w:rPr>
          <w:spacing w:val="-58"/>
        </w:rPr>
        <w:t> </w:t>
      </w:r>
      <w:r>
        <w:rPr/>
        <w:t>15,000</w:t>
      </w:r>
      <w:r>
        <w:rPr>
          <w:spacing w:val="-60"/>
        </w:rPr>
        <w:t> </w:t>
      </w:r>
      <w:r>
        <w:rPr/>
        <w:t>万元，合计</w:t>
      </w:r>
      <w:r>
        <w:rPr>
          <w:spacing w:val="-60"/>
        </w:rPr>
        <w:t> </w:t>
      </w:r>
      <w:r>
        <w:rPr/>
        <w:t>30,100</w:t>
      </w:r>
      <w:r>
        <w:rPr>
          <w:spacing w:val="-58"/>
        </w:rPr>
        <w:t> </w:t>
      </w:r>
      <w:r>
        <w:rPr/>
        <w:t>万元；稳实投资、本公司、海联金汇拟认缴出资额占合计金额的比例</w:t>
      </w:r>
      <w:r>
        <w:rPr>
          <w:w w:val="100"/>
        </w:rPr>
        <w:t> </w:t>
      </w:r>
      <w:r>
        <w:rPr/>
        <w:t>分别为</w:t>
      </w:r>
      <w:r>
        <w:rPr>
          <w:spacing w:val="-56"/>
        </w:rPr>
        <w:t> </w:t>
      </w:r>
      <w:r>
        <w:rPr/>
        <w:t>0.3322%、49.8339%、49.8339%。</w:t>
      </w:r>
    </w:p>
    <w:p>
      <w:pPr>
        <w:pStyle w:val="BodyText"/>
        <w:spacing w:line="350" w:lineRule="auto" w:before="27"/>
        <w:ind w:left="153" w:right="206" w:firstLine="420"/>
        <w:jc w:val="left"/>
      </w:pPr>
      <w:r>
        <w:rPr/>
        <w:t>2018</w:t>
      </w:r>
      <w:r>
        <w:rPr>
          <w:spacing w:val="-48"/>
        </w:rPr>
        <w:t> </w:t>
      </w:r>
      <w:r>
        <w:rPr/>
        <w:t>年</w:t>
      </w:r>
      <w:r>
        <w:rPr>
          <w:spacing w:val="-45"/>
        </w:rPr>
        <w:t> </w:t>
      </w:r>
      <w:r>
        <w:rPr/>
        <w:t>3</w:t>
      </w:r>
      <w:r>
        <w:rPr>
          <w:spacing w:val="-48"/>
        </w:rPr>
        <w:t> </w:t>
      </w:r>
      <w:r>
        <w:rPr/>
        <w:t>月</w:t>
      </w:r>
      <w:r>
        <w:rPr>
          <w:spacing w:val="-45"/>
        </w:rPr>
        <w:t> </w:t>
      </w:r>
      <w:r>
        <w:rPr/>
        <w:t>12</w:t>
      </w:r>
      <w:r>
        <w:rPr>
          <w:spacing w:val="-48"/>
        </w:rPr>
        <w:t> </w:t>
      </w:r>
      <w:r>
        <w:rPr/>
        <w:t>日召开的临时股东大会审议通过了在雄安新区设立投资基金，公司正在整理汇</w:t>
      </w:r>
      <w:r>
        <w:rPr>
          <w:w w:val="100"/>
        </w:rPr>
        <w:t> </w:t>
      </w:r>
      <w:r>
        <w:rPr/>
        <w:t>总注册申请文件。</w:t>
      </w:r>
    </w:p>
    <w:p>
      <w:pPr>
        <w:pStyle w:val="BodyText"/>
        <w:spacing w:line="240" w:lineRule="auto" w:before="29"/>
        <w:ind w:right="46"/>
        <w:jc w:val="left"/>
      </w:pPr>
      <w:r>
        <w:rPr/>
        <w:t>截至</w:t>
      </w:r>
      <w:r>
        <w:rPr>
          <w:spacing w:val="-53"/>
        </w:rPr>
        <w:t> </w:t>
      </w:r>
      <w:r>
        <w:rPr/>
        <w:t>2018</w:t>
      </w:r>
      <w:r>
        <w:rPr>
          <w:spacing w:val="-55"/>
        </w:rPr>
        <w:t> </w:t>
      </w:r>
      <w:r>
        <w:rPr/>
        <w:t>年</w:t>
      </w:r>
      <w:r>
        <w:rPr>
          <w:spacing w:val="-53"/>
        </w:rPr>
        <w:t> </w:t>
      </w:r>
      <w:r>
        <w:rPr/>
        <w:t>4</w:t>
      </w:r>
      <w:r>
        <w:rPr>
          <w:spacing w:val="-55"/>
        </w:rPr>
        <w:t> </w:t>
      </w:r>
      <w:r>
        <w:rPr/>
        <w:t>月</w:t>
      </w:r>
      <w:r>
        <w:rPr>
          <w:spacing w:val="-53"/>
        </w:rPr>
        <w:t> </w:t>
      </w:r>
      <w:r>
        <w:rPr/>
        <w:t>13</w:t>
      </w:r>
      <w:r>
        <w:rPr>
          <w:spacing w:val="-2"/>
        </w:rPr>
        <w:t> </w:t>
      </w:r>
      <w:r>
        <w:rPr/>
        <w:t>日，没有进一步变化。</w:t>
      </w:r>
    </w:p>
    <w:p>
      <w:pPr>
        <w:pStyle w:val="BodyText"/>
        <w:spacing w:line="348" w:lineRule="auto" w:before="37"/>
        <w:ind w:right="203"/>
        <w:jc w:val="left"/>
      </w:pPr>
      <w:r>
        <w:rPr/>
        <w:t>（3）创世漫道收购融资租赁公司</w:t>
      </w:r>
      <w:r>
        <w:rPr>
          <w:w w:val="100"/>
        </w:rPr>
        <w:t> </w:t>
      </w:r>
      <w:r>
        <w:rPr>
          <w:spacing w:val="-5"/>
          <w:w w:val="100"/>
        </w:rPr>
        <w:t>本公司之子公司创世漫道拟向交易对方华莱科技有限公司（简称华莱科技），以现金</w:t>
      </w:r>
      <w:r>
        <w:rPr>
          <w:w w:val="100"/>
        </w:rPr>
        <w:t> 1</w:t>
      </w:r>
      <w:r>
        <w:rPr>
          <w:spacing w:val="12"/>
          <w:w w:val="100"/>
        </w:rPr>
        <w:t> </w:t>
      </w:r>
      <w:r>
        <w:rPr>
          <w:spacing w:val="-1"/>
          <w:w w:val="100"/>
        </w:rPr>
        <w:t>元（人</w:t>
      </w:r>
    </w:p>
    <w:p>
      <w:pPr>
        <w:pStyle w:val="BodyText"/>
        <w:spacing w:line="348" w:lineRule="auto" w:before="31"/>
        <w:ind w:left="153" w:right="210"/>
        <w:jc w:val="both"/>
      </w:pPr>
      <w:r>
        <w:rPr/>
        <w:t>民币）整的价格收购华赢融资租赁（深圳）有限公司（简称华赢公司）75%的股权。华莱科技拥有</w:t>
      </w:r>
      <w:r>
        <w:rPr>
          <w:spacing w:val="-19"/>
        </w:rPr>
        <w:t> </w:t>
      </w:r>
      <w:r>
        <w:rPr>
          <w:spacing w:val="-19"/>
        </w:rPr>
      </w:r>
      <w:r>
        <w:rPr/>
        <w:t>华赢公司 </w:t>
      </w:r>
      <w:r>
        <w:rPr>
          <w:spacing w:val="-3"/>
        </w:rPr>
        <w:t>100%的股权，上述股权出让后持有华赢公司 </w:t>
      </w:r>
      <w:r>
        <w:rPr>
          <w:spacing w:val="-4"/>
        </w:rPr>
        <w:t>25%的股权，本次交易不存在关联人情形，不</w:t>
      </w:r>
      <w:r>
        <w:rPr>
          <w:spacing w:val="-85"/>
        </w:rPr>
        <w:t> </w:t>
      </w:r>
      <w:r>
        <w:rPr>
          <w:spacing w:val="-85"/>
        </w:rPr>
      </w:r>
      <w:r>
        <w:rPr/>
        <w:t>构成关联交易。2018</w:t>
      </w:r>
      <w:r>
        <w:rPr>
          <w:spacing w:val="-46"/>
        </w:rPr>
        <w:t> </w:t>
      </w:r>
      <w:r>
        <w:rPr/>
        <w:t>年</w:t>
      </w:r>
      <w:r>
        <w:rPr>
          <w:spacing w:val="-46"/>
        </w:rPr>
        <w:t> </w:t>
      </w:r>
      <w:r>
        <w:rPr/>
        <w:t>3</w:t>
      </w:r>
      <w:r>
        <w:rPr>
          <w:spacing w:val="-49"/>
        </w:rPr>
        <w:t> </w:t>
      </w:r>
      <w:r>
        <w:rPr/>
        <w:t>月</w:t>
      </w:r>
      <w:r>
        <w:rPr>
          <w:spacing w:val="-46"/>
        </w:rPr>
        <w:t> </w:t>
      </w:r>
      <w:r>
        <w:rPr/>
        <w:t>26</w:t>
      </w:r>
      <w:r>
        <w:rPr>
          <w:spacing w:val="-49"/>
        </w:rPr>
        <w:t> </w:t>
      </w:r>
      <w:r>
        <w:rPr/>
        <w:t>日，本公司与华莱科技就华赢公司股权转让事项签署了《股权转让</w:t>
      </w:r>
    </w:p>
    <w:p>
      <w:pPr>
        <w:pStyle w:val="BodyText"/>
        <w:spacing w:line="350" w:lineRule="auto" w:before="31"/>
        <w:ind w:right="105" w:hanging="421"/>
        <w:jc w:val="left"/>
      </w:pPr>
      <w:r>
        <w:rPr>
          <w:spacing w:val="-8"/>
          <w:w w:val="100"/>
        </w:rPr>
        <w:t>协议》，本公司将在收购完成后，根据业务发展情况，按比例适时分期注资不超过</w:t>
      </w:r>
      <w:r>
        <w:rPr>
          <w:w w:val="100"/>
        </w:rPr>
        <w:t> </w:t>
      </w:r>
      <w:r>
        <w:rPr>
          <w:spacing w:val="-1"/>
          <w:w w:val="100"/>
        </w:rPr>
        <w:t>14,678.55</w:t>
      </w:r>
      <w:r>
        <w:rPr>
          <w:spacing w:val="10"/>
          <w:w w:val="100"/>
        </w:rPr>
        <w:t> </w:t>
      </w:r>
      <w:r>
        <w:rPr>
          <w:spacing w:val="-1"/>
          <w:w w:val="100"/>
        </w:rPr>
        <w:t>万元。</w:t>
      </w:r>
      <w:r>
        <w:rPr>
          <w:w w:val="100"/>
        </w:rPr>
        <w:t> </w:t>
      </w:r>
      <w:r>
        <w:rPr/>
        <w:t>截至</w:t>
      </w:r>
      <w:r>
        <w:rPr>
          <w:spacing w:val="-53"/>
        </w:rPr>
        <w:t> </w:t>
      </w:r>
      <w:r>
        <w:rPr/>
        <w:t>2018</w:t>
      </w:r>
      <w:r>
        <w:rPr>
          <w:spacing w:val="-55"/>
        </w:rPr>
        <w:t> </w:t>
      </w:r>
      <w:r>
        <w:rPr/>
        <w:t>年</w:t>
      </w:r>
      <w:r>
        <w:rPr>
          <w:spacing w:val="-53"/>
        </w:rPr>
        <w:t> </w:t>
      </w:r>
      <w:r>
        <w:rPr/>
        <w:t>4</w:t>
      </w:r>
      <w:r>
        <w:rPr>
          <w:spacing w:val="-55"/>
        </w:rPr>
        <w:t> </w:t>
      </w:r>
      <w:r>
        <w:rPr/>
        <w:t>月</w:t>
      </w:r>
      <w:r>
        <w:rPr>
          <w:spacing w:val="-53"/>
        </w:rPr>
        <w:t> </w:t>
      </w:r>
      <w:r>
        <w:rPr/>
        <w:t>13</w:t>
      </w:r>
      <w:r>
        <w:rPr>
          <w:spacing w:val="-2"/>
        </w:rPr>
        <w:t> </w:t>
      </w:r>
      <w:r>
        <w:rPr/>
        <w:t>日，收购融资租赁公司未有进一步变化。</w:t>
      </w:r>
    </w:p>
    <w:p>
      <w:pPr>
        <w:pStyle w:val="BodyText"/>
        <w:spacing w:line="240" w:lineRule="auto" w:before="34"/>
        <w:ind w:right="46"/>
        <w:jc w:val="left"/>
      </w:pPr>
      <w:r>
        <w:rPr/>
        <w:t>2、利润分配情况</w:t>
      </w:r>
    </w:p>
    <w:p>
      <w:pPr>
        <w:pStyle w:val="BodyText"/>
        <w:spacing w:line="240" w:lineRule="auto" w:before="37"/>
        <w:ind w:right="46"/>
        <w:jc w:val="left"/>
      </w:pPr>
      <w:r>
        <w:rPr/>
        <w:t>2018</w:t>
      </w:r>
      <w:r>
        <w:rPr>
          <w:spacing w:val="-38"/>
        </w:rPr>
        <w:t> </w:t>
      </w:r>
      <w:r>
        <w:rPr/>
        <w:t>年</w:t>
      </w:r>
      <w:r>
        <w:rPr>
          <w:spacing w:val="-38"/>
        </w:rPr>
        <w:t> </w:t>
      </w:r>
      <w:r>
        <w:rPr/>
        <w:t>4</w:t>
      </w:r>
      <w:r>
        <w:rPr>
          <w:spacing w:val="-38"/>
        </w:rPr>
        <w:t> </w:t>
      </w:r>
      <w:r>
        <w:rPr/>
        <w:t>月</w:t>
      </w:r>
      <w:r>
        <w:rPr>
          <w:spacing w:val="-38"/>
        </w:rPr>
        <w:t> </w:t>
      </w:r>
      <w:r>
        <w:rPr/>
        <w:t>13</w:t>
      </w:r>
      <w:r>
        <w:rPr>
          <w:spacing w:val="-38"/>
        </w:rPr>
        <w:t> </w:t>
      </w:r>
      <w:r>
        <w:rPr/>
        <w:t>日，本公司第七届董事会召开第</w:t>
      </w:r>
      <w:r>
        <w:rPr>
          <w:spacing w:val="-38"/>
        </w:rPr>
        <w:t> </w:t>
      </w:r>
      <w:r>
        <w:rPr/>
        <w:t>6</w:t>
      </w:r>
      <w:r>
        <w:rPr>
          <w:spacing w:val="-38"/>
        </w:rPr>
        <w:t> </w:t>
      </w:r>
      <w:r>
        <w:rPr/>
        <w:t>次会议，批准</w:t>
      </w:r>
      <w:r>
        <w:rPr>
          <w:spacing w:val="-38"/>
        </w:rPr>
        <w:t> </w:t>
      </w:r>
      <w:r>
        <w:rPr/>
        <w:t>2017</w:t>
      </w:r>
      <w:r>
        <w:rPr>
          <w:spacing w:val="-41"/>
        </w:rPr>
        <w:t> </w:t>
      </w:r>
      <w:r>
        <w:rPr/>
        <w:t>年度利润分配预案，以</w:t>
      </w:r>
    </w:p>
    <w:p>
      <w:pPr>
        <w:pStyle w:val="BodyText"/>
        <w:spacing w:line="240" w:lineRule="auto" w:before="37"/>
        <w:ind w:left="153" w:right="0"/>
        <w:jc w:val="both"/>
      </w:pPr>
      <w:r>
        <w:rPr>
          <w:w w:val="100"/>
        </w:rPr>
        <w:t>2017</w:t>
      </w:r>
      <w:r>
        <w:rPr>
          <w:spacing w:val="5"/>
        </w:rPr>
        <w:t> </w:t>
      </w:r>
      <w:r>
        <w:rPr>
          <w:w w:val="100"/>
        </w:rPr>
        <w:t>年</w:t>
      </w:r>
      <w:r>
        <w:rPr>
          <w:spacing w:val="3"/>
        </w:rPr>
        <w:t> </w:t>
      </w:r>
      <w:r>
        <w:rPr>
          <w:w w:val="100"/>
        </w:rPr>
        <w:t>12</w:t>
      </w:r>
      <w:r>
        <w:rPr>
          <w:spacing w:val="5"/>
        </w:rPr>
        <w:t> </w:t>
      </w:r>
      <w:r>
        <w:rPr>
          <w:w w:val="100"/>
        </w:rPr>
        <w:t>月</w:t>
      </w:r>
      <w:r>
        <w:rPr>
          <w:spacing w:val="5"/>
        </w:rPr>
        <w:t> </w:t>
      </w:r>
      <w:r>
        <w:rPr>
          <w:spacing w:val="-3"/>
          <w:w w:val="100"/>
        </w:rPr>
        <w:t>3</w:t>
      </w:r>
      <w:r>
        <w:rPr>
          <w:w w:val="100"/>
        </w:rPr>
        <w:t>1</w:t>
      </w:r>
      <w:r>
        <w:rPr>
          <w:spacing w:val="5"/>
        </w:rPr>
        <w:t> </w:t>
      </w:r>
      <w:r>
        <w:rPr>
          <w:spacing w:val="4"/>
          <w:w w:val="100"/>
        </w:rPr>
        <w:t>日</w:t>
      </w:r>
      <w:r>
        <w:rPr>
          <w:spacing w:val="2"/>
          <w:w w:val="100"/>
        </w:rPr>
        <w:t>的</w:t>
      </w:r>
      <w:r>
        <w:rPr>
          <w:spacing w:val="4"/>
          <w:w w:val="100"/>
        </w:rPr>
        <w:t>公司总股数为基</w:t>
      </w:r>
      <w:r>
        <w:rPr>
          <w:spacing w:val="2"/>
          <w:w w:val="100"/>
        </w:rPr>
        <w:t>数</w:t>
      </w:r>
      <w:r>
        <w:rPr>
          <w:spacing w:val="4"/>
          <w:w w:val="100"/>
        </w:rPr>
        <w:t>，</w:t>
      </w:r>
      <w:r>
        <w:rPr>
          <w:w w:val="100"/>
        </w:rPr>
        <w:t>拟</w:t>
      </w:r>
      <w:r>
        <w:rPr>
          <w:spacing w:val="5"/>
        </w:rPr>
        <w:t> </w:t>
      </w:r>
      <w:r>
        <w:rPr>
          <w:spacing w:val="-3"/>
          <w:w w:val="100"/>
        </w:rPr>
        <w:t>1</w:t>
      </w:r>
      <w:r>
        <w:rPr>
          <w:w w:val="100"/>
        </w:rPr>
        <w:t>0</w:t>
      </w:r>
      <w:r>
        <w:rPr>
          <w:spacing w:val="5"/>
        </w:rPr>
        <w:t> </w:t>
      </w:r>
      <w:r>
        <w:rPr>
          <w:spacing w:val="4"/>
          <w:w w:val="100"/>
        </w:rPr>
        <w:t>股</w:t>
      </w:r>
      <w:r>
        <w:rPr>
          <w:w w:val="100"/>
        </w:rPr>
        <w:t>派</w:t>
      </w:r>
      <w:r>
        <w:rPr>
          <w:spacing w:val="5"/>
        </w:rPr>
        <w:t> </w:t>
      </w:r>
      <w:r>
        <w:rPr>
          <w:w w:val="100"/>
        </w:rPr>
        <w:t>0</w:t>
      </w:r>
      <w:r>
        <w:rPr>
          <w:spacing w:val="-3"/>
          <w:w w:val="100"/>
        </w:rPr>
        <w:t>.</w:t>
      </w:r>
      <w:r>
        <w:rPr>
          <w:w w:val="100"/>
        </w:rPr>
        <w:t>37</w:t>
      </w:r>
      <w:r>
        <w:rPr>
          <w:spacing w:val="5"/>
        </w:rPr>
        <w:t> </w:t>
      </w:r>
      <w:r>
        <w:rPr>
          <w:spacing w:val="4"/>
          <w:w w:val="100"/>
        </w:rPr>
        <w:t>元（含</w:t>
      </w:r>
      <w:r>
        <w:rPr>
          <w:spacing w:val="2"/>
          <w:w w:val="100"/>
        </w:rPr>
        <w:t>税</w:t>
      </w:r>
      <w:r>
        <w:rPr>
          <w:spacing w:val="-101"/>
          <w:w w:val="100"/>
        </w:rPr>
        <w:t>）</w:t>
      </w:r>
      <w:r>
        <w:rPr>
          <w:spacing w:val="4"/>
          <w:w w:val="100"/>
        </w:rPr>
        <w:t>，分配现金股利</w:t>
      </w:r>
      <w:r>
        <w:rPr>
          <w:spacing w:val="2"/>
          <w:w w:val="100"/>
        </w:rPr>
        <w:t>人</w:t>
      </w:r>
      <w:r>
        <w:rPr>
          <w:spacing w:val="4"/>
          <w:w w:val="100"/>
        </w:rPr>
        <w:t>民</w:t>
      </w:r>
      <w:r>
        <w:rPr>
          <w:w w:val="100"/>
        </w:rPr>
        <w:t>币</w:t>
      </w:r>
    </w:p>
    <w:p>
      <w:pPr>
        <w:pStyle w:val="BodyText"/>
        <w:spacing w:line="240" w:lineRule="auto" w:before="37"/>
        <w:ind w:left="153" w:right="0"/>
        <w:jc w:val="both"/>
      </w:pPr>
      <w:r>
        <w:rPr/>
        <w:t>23,007,591.08</w:t>
      </w:r>
      <w:r>
        <w:rPr>
          <w:spacing w:val="-55"/>
        </w:rPr>
        <w:t> </w:t>
      </w:r>
      <w:r>
        <w:rPr/>
        <w:t>元，不送股，也不进行资本公积转增股本。</w:t>
      </w:r>
    </w:p>
    <w:p>
      <w:pPr>
        <w:pStyle w:val="BodyText"/>
        <w:spacing w:line="273" w:lineRule="auto" w:before="131"/>
        <w:ind w:right="7643"/>
        <w:jc w:val="left"/>
      </w:pPr>
      <w:r>
        <w:rPr>
          <w:spacing w:val="-1"/>
        </w:rPr>
        <w:t>3、销售退回</w:t>
      </w:r>
      <w:r>
        <w:rPr>
          <w:spacing w:val="-99"/>
        </w:rPr>
        <w:t> </w:t>
      </w:r>
      <w:r>
        <w:rPr>
          <w:spacing w:val="-99"/>
        </w:rPr>
      </w:r>
      <w:r>
        <w:rPr/>
        <w:t>无</w:t>
      </w:r>
    </w:p>
    <w:p>
      <w:pPr>
        <w:pStyle w:val="BodyText"/>
        <w:spacing w:line="240" w:lineRule="auto" w:before="101"/>
        <w:ind w:right="46"/>
        <w:jc w:val="left"/>
      </w:pPr>
      <w:r>
        <w:rPr/>
        <w:t>4、其他重要的资产负债表日后非调整事项</w:t>
      </w:r>
    </w:p>
    <w:p>
      <w:pPr>
        <w:spacing w:after="0" w:line="240" w:lineRule="auto"/>
        <w:jc w:val="left"/>
        <w:sectPr>
          <w:pgSz w:w="11910" w:h="16840"/>
          <w:pgMar w:header="884" w:footer="1219" w:top="1140" w:bottom="1400" w:left="1320" w:right="1200"/>
        </w:sectPr>
      </w:pPr>
    </w:p>
    <w:p>
      <w:pPr>
        <w:pStyle w:val="BodyText"/>
        <w:spacing w:line="273" w:lineRule="auto" w:before="131"/>
        <w:ind w:right="0"/>
        <w:jc w:val="left"/>
      </w:pPr>
      <w:r>
        <w:rPr/>
        <w:t>（1）中兆投资减持情况</w:t>
      </w:r>
      <w:r>
        <w:rPr>
          <w:w w:val="100"/>
        </w:rPr>
        <w:t> </w:t>
      </w:r>
      <w:r>
        <w:rPr>
          <w:spacing w:val="13"/>
        </w:rPr>
        <w:t>股东中兆投资管理有限公司及其一致行动人深圳茂业百货有限公司合计持有本公司股份</w:t>
      </w:r>
    </w:p>
    <w:p>
      <w:pPr>
        <w:pStyle w:val="BodyText"/>
        <w:spacing w:line="273" w:lineRule="auto"/>
        <w:ind w:left="153" w:right="310"/>
        <w:jc w:val="both"/>
      </w:pPr>
      <w:r>
        <w:rPr/>
        <w:t>138,074,832</w:t>
      </w:r>
      <w:r>
        <w:rPr>
          <w:spacing w:val="-51"/>
        </w:rPr>
        <w:t> </w:t>
      </w:r>
      <w:r>
        <w:rPr>
          <w:spacing w:val="-3"/>
        </w:rPr>
        <w:t>股，占本公司总股本比例</w:t>
      </w:r>
      <w:r>
        <w:rPr>
          <w:spacing w:val="-51"/>
        </w:rPr>
        <w:t> </w:t>
      </w:r>
      <w:r>
        <w:rPr/>
        <w:t>22.2%，计划自公司重组预案修订稿披露复牌之日起</w:t>
      </w:r>
      <w:r>
        <w:rPr>
          <w:spacing w:val="-51"/>
        </w:rPr>
        <w:t> </w:t>
      </w:r>
      <w:r>
        <w:rPr/>
        <w:t>15</w:t>
      </w:r>
      <w:r>
        <w:rPr>
          <w:spacing w:val="-53"/>
        </w:rPr>
        <w:t> </w:t>
      </w:r>
      <w:r>
        <w:rPr/>
        <w:t>个交</w:t>
      </w:r>
      <w:r>
        <w:rPr>
          <w:w w:val="100"/>
        </w:rPr>
        <w:t> </w:t>
      </w:r>
      <w:r>
        <w:rPr/>
        <w:t>易日后的</w:t>
      </w:r>
      <w:r>
        <w:rPr>
          <w:spacing w:val="-31"/>
        </w:rPr>
        <w:t> </w:t>
      </w:r>
      <w:r>
        <w:rPr/>
        <w:t>6</w:t>
      </w:r>
      <w:r>
        <w:rPr>
          <w:spacing w:val="-31"/>
        </w:rPr>
        <w:t> </w:t>
      </w:r>
      <w:r>
        <w:rPr/>
        <w:t>个月内，以集中竞价及大宗交易方式减持本公司股份不超过</w:t>
      </w:r>
      <w:r>
        <w:rPr>
          <w:spacing w:val="-33"/>
        </w:rPr>
        <w:t> </w:t>
      </w:r>
      <w:r>
        <w:rPr/>
        <w:t>37,309,607</w:t>
      </w:r>
      <w:r>
        <w:rPr>
          <w:spacing w:val="-34"/>
        </w:rPr>
        <w:t> </w:t>
      </w:r>
      <w:r>
        <w:rPr/>
        <w:t>股（占本公司</w:t>
      </w:r>
      <w:r>
        <w:rPr>
          <w:w w:val="100"/>
        </w:rPr>
        <w:t> </w:t>
      </w:r>
      <w:r>
        <w:rPr>
          <w:spacing w:val="-2"/>
          <w:w w:val="100"/>
        </w:rPr>
        <w:t>总股本比例</w:t>
      </w:r>
      <w:r>
        <w:rPr>
          <w:spacing w:val="-50"/>
          <w:w w:val="100"/>
        </w:rPr>
        <w:t> </w:t>
      </w:r>
      <w:r>
        <w:rPr>
          <w:spacing w:val="-27"/>
          <w:w w:val="100"/>
        </w:rPr>
        <w:t>6%）。</w:t>
      </w:r>
    </w:p>
    <w:p>
      <w:pPr>
        <w:pStyle w:val="BodyText"/>
        <w:spacing w:line="273" w:lineRule="auto" w:before="8"/>
        <w:ind w:left="153" w:right="0" w:firstLine="420"/>
        <w:jc w:val="left"/>
      </w:pPr>
      <w:r>
        <w:rPr/>
        <w:t>2017</w:t>
      </w:r>
      <w:r>
        <w:rPr>
          <w:spacing w:val="-53"/>
        </w:rPr>
        <w:t> </w:t>
      </w:r>
      <w:r>
        <w:rPr/>
        <w:t>年</w:t>
      </w:r>
      <w:r>
        <w:rPr>
          <w:spacing w:val="-51"/>
        </w:rPr>
        <w:t> </w:t>
      </w:r>
      <w:r>
        <w:rPr/>
        <w:t>11</w:t>
      </w:r>
      <w:r>
        <w:rPr>
          <w:spacing w:val="-53"/>
        </w:rPr>
        <w:t> </w:t>
      </w:r>
      <w:r>
        <w:rPr/>
        <w:t>月</w:t>
      </w:r>
      <w:r>
        <w:rPr>
          <w:spacing w:val="-51"/>
        </w:rPr>
        <w:t> </w:t>
      </w:r>
      <w:r>
        <w:rPr/>
        <w:t>1</w:t>
      </w:r>
      <w:r>
        <w:rPr>
          <w:spacing w:val="-53"/>
        </w:rPr>
        <w:t> </w:t>
      </w:r>
      <w:r>
        <w:rPr>
          <w:spacing w:val="-3"/>
        </w:rPr>
        <w:t>日公司披露了《公司持股</w:t>
      </w:r>
      <w:r>
        <w:rPr>
          <w:spacing w:val="-51"/>
        </w:rPr>
        <w:t> </w:t>
      </w:r>
      <w:r>
        <w:rPr/>
        <w:t>5%以上大股东中兆投资及其一致行动人减持计划的提</w:t>
      </w:r>
      <w:r>
        <w:rPr>
          <w:w w:val="100"/>
        </w:rPr>
        <w:t> </w:t>
      </w:r>
      <w:r>
        <w:rPr>
          <w:spacing w:val="-19"/>
          <w:w w:val="100"/>
        </w:rPr>
        <w:t>示性公告》；</w:t>
      </w:r>
    </w:p>
    <w:p>
      <w:pPr>
        <w:pStyle w:val="BodyText"/>
        <w:spacing w:line="240" w:lineRule="auto"/>
        <w:ind w:right="0"/>
        <w:jc w:val="left"/>
      </w:pPr>
      <w:r>
        <w:rPr/>
        <w:t>截至</w:t>
      </w:r>
      <w:r>
        <w:rPr>
          <w:spacing w:val="-53"/>
        </w:rPr>
        <w:t> </w:t>
      </w:r>
      <w:r>
        <w:rPr/>
        <w:t>2018</w:t>
      </w:r>
      <w:r>
        <w:rPr>
          <w:spacing w:val="-55"/>
        </w:rPr>
        <w:t> </w:t>
      </w:r>
      <w:r>
        <w:rPr/>
        <w:t>年</w:t>
      </w:r>
      <w:r>
        <w:rPr>
          <w:spacing w:val="-53"/>
        </w:rPr>
        <w:t> </w:t>
      </w:r>
      <w:r>
        <w:rPr/>
        <w:t>2</w:t>
      </w:r>
      <w:r>
        <w:rPr>
          <w:spacing w:val="-55"/>
        </w:rPr>
        <w:t> </w:t>
      </w:r>
      <w:r>
        <w:rPr/>
        <w:t>月</w:t>
      </w:r>
      <w:r>
        <w:rPr>
          <w:spacing w:val="-53"/>
        </w:rPr>
        <w:t> </w:t>
      </w:r>
      <w:r>
        <w:rPr/>
        <w:t>14</w:t>
      </w:r>
      <w:r>
        <w:rPr>
          <w:spacing w:val="-55"/>
        </w:rPr>
        <w:t> </w:t>
      </w:r>
      <w:r>
        <w:rPr/>
        <w:t>日收市，中兆投资及其一致行动人茂业百货尚未减持本公司股份；</w:t>
      </w:r>
    </w:p>
    <w:p>
      <w:pPr>
        <w:pStyle w:val="BodyText"/>
        <w:spacing w:line="273" w:lineRule="auto" w:before="37"/>
        <w:ind w:left="153" w:right="293" w:firstLine="420"/>
        <w:jc w:val="both"/>
      </w:pPr>
      <w:r>
        <w:rPr/>
        <w:t>自</w:t>
      </w:r>
      <w:r>
        <w:rPr>
          <w:spacing w:val="-53"/>
        </w:rPr>
        <w:t> </w:t>
      </w:r>
      <w:r>
        <w:rPr/>
        <w:t>2018</w:t>
      </w:r>
      <w:r>
        <w:rPr>
          <w:spacing w:val="-53"/>
        </w:rPr>
        <w:t> </w:t>
      </w:r>
      <w:r>
        <w:rPr/>
        <w:t>年</w:t>
      </w:r>
      <w:r>
        <w:rPr>
          <w:spacing w:val="-55"/>
        </w:rPr>
        <w:t> </w:t>
      </w:r>
      <w:r>
        <w:rPr/>
        <w:t>2</w:t>
      </w:r>
      <w:r>
        <w:rPr>
          <w:spacing w:val="-53"/>
        </w:rPr>
        <w:t> </w:t>
      </w:r>
      <w:r>
        <w:rPr/>
        <w:t>月</w:t>
      </w:r>
      <w:r>
        <w:rPr>
          <w:spacing w:val="-55"/>
        </w:rPr>
        <w:t> </w:t>
      </w:r>
      <w:r>
        <w:rPr/>
        <w:t>20</w:t>
      </w:r>
      <w:r>
        <w:rPr>
          <w:spacing w:val="-53"/>
        </w:rPr>
        <w:t> </w:t>
      </w:r>
      <w:r>
        <w:rPr/>
        <w:t>日起，在之后余下的</w:t>
      </w:r>
      <w:r>
        <w:rPr>
          <w:spacing w:val="-53"/>
        </w:rPr>
        <w:t> </w:t>
      </w:r>
      <w:r>
        <w:rPr/>
        <w:t>3</w:t>
      </w:r>
      <w:r>
        <w:rPr>
          <w:spacing w:val="-55"/>
        </w:rPr>
        <w:t> </w:t>
      </w:r>
      <w:r>
        <w:rPr/>
        <w:t>个月时间内，上述减持股份计划仍将有效。按测算，</w:t>
      </w:r>
      <w:r>
        <w:rPr>
          <w:w w:val="100"/>
        </w:rPr>
        <w:t> </w:t>
      </w:r>
      <w:r>
        <w:rPr/>
        <w:t>在自</w:t>
      </w:r>
      <w:r>
        <w:rPr>
          <w:spacing w:val="-55"/>
        </w:rPr>
        <w:t> </w:t>
      </w:r>
      <w:r>
        <w:rPr/>
        <w:t>2018</w:t>
      </w:r>
      <w:r>
        <w:rPr>
          <w:spacing w:val="-57"/>
        </w:rPr>
        <w:t> </w:t>
      </w:r>
      <w:r>
        <w:rPr/>
        <w:t>年</w:t>
      </w:r>
      <w:r>
        <w:rPr>
          <w:spacing w:val="-55"/>
        </w:rPr>
        <w:t> </w:t>
      </w:r>
      <w:r>
        <w:rPr/>
        <w:t>2</w:t>
      </w:r>
      <w:r>
        <w:rPr>
          <w:spacing w:val="-57"/>
        </w:rPr>
        <w:t> </w:t>
      </w:r>
      <w:r>
        <w:rPr/>
        <w:t>月</w:t>
      </w:r>
      <w:r>
        <w:rPr>
          <w:spacing w:val="-55"/>
        </w:rPr>
        <w:t> </w:t>
      </w:r>
      <w:r>
        <w:rPr/>
        <w:t>20</w:t>
      </w:r>
      <w:r>
        <w:rPr>
          <w:spacing w:val="-57"/>
        </w:rPr>
        <w:t> </w:t>
      </w:r>
      <w:r>
        <w:rPr/>
        <w:t>日起的</w:t>
      </w:r>
      <w:r>
        <w:rPr>
          <w:spacing w:val="-55"/>
        </w:rPr>
        <w:t> </w:t>
      </w:r>
      <w:r>
        <w:rPr/>
        <w:t>3</w:t>
      </w:r>
      <w:r>
        <w:rPr>
          <w:spacing w:val="-55"/>
        </w:rPr>
        <w:t> </w:t>
      </w:r>
      <w:r>
        <w:rPr/>
        <w:t>个月时间内，其中以集中竞价及大宗交易方式减持本公司股份不超过</w:t>
      </w:r>
      <w:r>
        <w:rPr>
          <w:w w:val="100"/>
        </w:rPr>
        <w:t> </w:t>
      </w:r>
      <w:r>
        <w:rPr>
          <w:spacing w:val="-1"/>
          <w:w w:val="100"/>
        </w:rPr>
        <w:t>18,654,803</w:t>
      </w:r>
      <w:r>
        <w:rPr>
          <w:spacing w:val="-50"/>
          <w:w w:val="100"/>
        </w:rPr>
        <w:t> </w:t>
      </w:r>
      <w:r>
        <w:rPr>
          <w:spacing w:val="-2"/>
          <w:w w:val="100"/>
        </w:rPr>
        <w:t>股（占本公司总股本比例</w:t>
      </w:r>
      <w:r>
        <w:rPr>
          <w:spacing w:val="-50"/>
          <w:w w:val="100"/>
        </w:rPr>
        <w:t> </w:t>
      </w:r>
      <w:r>
        <w:rPr>
          <w:spacing w:val="-27"/>
          <w:w w:val="100"/>
        </w:rPr>
        <w:t>3%）。</w:t>
      </w:r>
    </w:p>
    <w:p>
      <w:pPr>
        <w:pStyle w:val="BodyText"/>
        <w:spacing w:line="273" w:lineRule="auto"/>
        <w:ind w:left="153" w:right="310" w:firstLine="420"/>
        <w:jc w:val="both"/>
      </w:pPr>
      <w:r>
        <w:rPr>
          <w:spacing w:val="-2"/>
        </w:rPr>
        <w:t>中兆投资及其一致行动人茂业百货在来函中说明：将按照证监会《上市公司股东、董监高减持</w:t>
      </w:r>
      <w:r>
        <w:rPr>
          <w:w w:val="100"/>
        </w:rPr>
        <w:t> </w:t>
      </w:r>
      <w:r>
        <w:rPr>
          <w:spacing w:val="-2"/>
        </w:rPr>
        <w:t>股份的若干规定》以及《深交所上市公司股东及董事、监事、高级管理人员减持股份实施细则》有</w:t>
      </w:r>
      <w:r>
        <w:rPr>
          <w:spacing w:val="-43"/>
        </w:rPr>
        <w:t> </w:t>
      </w:r>
      <w:r>
        <w:rPr>
          <w:spacing w:val="-43"/>
        </w:rPr>
      </w:r>
      <w:r>
        <w:rPr/>
        <w:t>关规定及时履行后续的信息披露义务。</w:t>
      </w:r>
    </w:p>
    <w:p>
      <w:pPr>
        <w:pStyle w:val="BodyText"/>
        <w:spacing w:line="240" w:lineRule="auto"/>
        <w:ind w:right="0"/>
        <w:jc w:val="left"/>
      </w:pPr>
      <w:r>
        <w:rPr/>
        <w:t>（2）公司名称变更工商批复</w:t>
      </w:r>
    </w:p>
    <w:p>
      <w:pPr>
        <w:pStyle w:val="BodyText"/>
        <w:spacing w:line="273" w:lineRule="auto" w:before="37"/>
        <w:ind w:left="153" w:right="0" w:firstLine="420"/>
        <w:jc w:val="left"/>
      </w:pPr>
      <w:r>
        <w:rPr/>
        <w:t>股东中兆投资管理有限公司于 2017</w:t>
      </w:r>
      <w:r>
        <w:rPr>
          <w:spacing w:val="-2"/>
        </w:rPr>
        <w:t> </w:t>
      </w:r>
      <w:r>
        <w:rPr/>
        <w:t>年</w:t>
      </w:r>
      <w:r>
        <w:rPr>
          <w:spacing w:val="-31"/>
        </w:rPr>
        <w:t> </w:t>
      </w:r>
      <w:r>
        <w:rPr/>
        <w:t>1</w:t>
      </w:r>
      <w:r>
        <w:rPr>
          <w:spacing w:val="-31"/>
        </w:rPr>
        <w:t> </w:t>
      </w:r>
      <w:r>
        <w:rPr/>
        <w:t>月将其持有的本公司无限售条件股份</w:t>
      </w:r>
      <w:r>
        <w:rPr>
          <w:spacing w:val="-31"/>
        </w:rPr>
        <w:t> </w:t>
      </w:r>
      <w:r>
        <w:rPr/>
        <w:t>7000</w:t>
      </w:r>
      <w:r>
        <w:rPr>
          <w:spacing w:val="-33"/>
        </w:rPr>
        <w:t> </w:t>
      </w:r>
      <w:r>
        <w:rPr/>
        <w:t>万股协议</w:t>
      </w:r>
      <w:r>
        <w:rPr>
          <w:w w:val="100"/>
        </w:rPr>
        <w:t> </w:t>
      </w:r>
      <w:r>
        <w:rPr/>
        <w:t>转让给第三方深圳通泰达投资中心（有限合伙）后，公司已无控股股东、实际控制人。因为控股股</w:t>
      </w:r>
      <w:r>
        <w:rPr>
          <w:w w:val="100"/>
        </w:rPr>
        <w:t> </w:t>
      </w:r>
      <w:r>
        <w:rPr>
          <w:spacing w:val="-5"/>
          <w:w w:val="100"/>
        </w:rPr>
        <w:t>东变更，中兆投资的控制方“茂业系”不再是本公司的间接控制方，公司名称不宜再冠有“茂业”。</w:t>
      </w:r>
      <w:r>
        <w:rPr>
          <w:spacing w:val="-71"/>
          <w:w w:val="100"/>
        </w:rPr>
        <w:t> </w:t>
      </w:r>
      <w:r>
        <w:rPr>
          <w:spacing w:val="-71"/>
          <w:w w:val="100"/>
        </w:rPr>
      </w:r>
      <w:r>
        <w:rPr>
          <w:spacing w:val="-2"/>
          <w:w w:val="100"/>
        </w:rPr>
        <w:t>因此公司拟更名：将“茂业通信网络股份有限公司”改称为“中嘉博创信息技术股份有限公司”。</w:t>
      </w:r>
      <w:r>
        <w:rPr>
          <w:spacing w:val="-94"/>
          <w:w w:val="100"/>
        </w:rPr>
        <w:t> </w:t>
      </w:r>
      <w:r>
        <w:rPr>
          <w:spacing w:val="-94"/>
          <w:w w:val="100"/>
        </w:rPr>
      </w:r>
      <w:r>
        <w:rPr/>
        <w:t>本次更名及修订公司章程相关条款事项已经公司董事会 2018 </w:t>
      </w:r>
      <w:r>
        <w:rPr>
          <w:spacing w:val="-3"/>
        </w:rPr>
        <w:t>年第四次会议审议通过，将提请公司</w:t>
      </w:r>
      <w:r>
        <w:rPr>
          <w:spacing w:val="-81"/>
        </w:rPr>
        <w:t> </w:t>
      </w:r>
      <w:r>
        <w:rPr>
          <w:spacing w:val="-81"/>
        </w:rPr>
      </w:r>
      <w:r>
        <w:rPr/>
        <w:t>股东大会审议，若获得通过，公司新名称以经工商行政管理部门核准并完成变更登记的为准。</w:t>
      </w:r>
    </w:p>
    <w:p>
      <w:pPr>
        <w:pStyle w:val="BodyText"/>
        <w:spacing w:line="240" w:lineRule="auto"/>
        <w:ind w:right="0"/>
        <w:jc w:val="left"/>
      </w:pPr>
      <w:r>
        <w:rPr/>
        <w:t>（3）股权质押情况</w:t>
      </w:r>
    </w:p>
    <w:p>
      <w:pPr>
        <w:pStyle w:val="BodyText"/>
        <w:spacing w:line="240" w:lineRule="auto" w:before="37"/>
        <w:ind w:right="0"/>
        <w:jc w:val="left"/>
      </w:pPr>
      <w:r>
        <w:rPr/>
        <w:t>截止到</w:t>
      </w:r>
      <w:r>
        <w:rPr>
          <w:spacing w:val="-57"/>
        </w:rPr>
        <w:t> </w:t>
      </w:r>
      <w:r>
        <w:rPr/>
        <w:t>2017</w:t>
      </w:r>
      <w:r>
        <w:rPr>
          <w:spacing w:val="-57"/>
        </w:rPr>
        <w:t> </w:t>
      </w:r>
      <w:r>
        <w:rPr/>
        <w:t>年审计报告日，公司大股东及其一致行动人股权质押情况如下：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262"/>
        <w:gridCol w:w="1558"/>
        <w:gridCol w:w="852"/>
        <w:gridCol w:w="1560"/>
        <w:gridCol w:w="708"/>
        <w:gridCol w:w="1274"/>
      </w:tblGrid>
      <w:tr>
        <w:trPr>
          <w:trHeight w:val="350"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9" w:lineRule="auto"/>
              <w:ind w:left="194" w:right="151"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9" w:lineRule="auto"/>
              <w:ind w:left="103" w:right="12"/>
              <w:jc w:val="left"/>
              <w:rPr>
                <w:rFonts w:ascii="宋体" w:hAnsi="宋体" w:cs="宋体" w:eastAsia="宋体" w:hint="default"/>
                <w:sz w:val="18"/>
                <w:szCs w:val="18"/>
              </w:rPr>
            </w:pPr>
            <w:r>
              <w:rPr>
                <w:rFonts w:ascii="宋体" w:hAnsi="宋体" w:cs="宋体" w:eastAsia="宋体" w:hint="default"/>
                <w:sz w:val="18"/>
                <w:szCs w:val="18"/>
              </w:rPr>
              <w:t>报告期末持有的 普通股数量（股）</w:t>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4" w:hRule="exact"/>
        </w:trPr>
        <w:tc>
          <w:tcPr>
            <w:tcW w:w="326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8" w:right="168"/>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孝昌鹰溪谷投资中心(有限合伙)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23.86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148,360,844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6" w:right="0"/>
              <w:jc w:val="center"/>
              <w:rPr>
                <w:rFonts w:ascii="宋体" w:hAnsi="宋体" w:cs="宋体" w:eastAsia="宋体" w:hint="default"/>
                <w:sz w:val="18"/>
                <w:szCs w:val="18"/>
              </w:rPr>
            </w:pPr>
            <w:r>
              <w:rPr>
                <w:rFonts w:ascii="宋体"/>
                <w:sz w:val="18"/>
              </w:rPr>
              <w:t>90,000,000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2.中兆投资管理有限公司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z w:val="18"/>
              </w:rPr>
              <w:t>138,074,832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 w:right="0"/>
              <w:jc w:val="center"/>
              <w:rPr>
                <w:rFonts w:ascii="宋体" w:hAnsi="宋体" w:cs="宋体" w:eastAsia="宋体" w:hint="default"/>
                <w:sz w:val="18"/>
                <w:szCs w:val="18"/>
              </w:rPr>
            </w:pPr>
            <w:r>
              <w:rPr>
                <w:rFonts w:ascii="宋体"/>
                <w:sz w:val="18"/>
              </w:rPr>
              <w:t>100,000,000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3.深圳通泰达投资中心(有限合伙)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11.26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6" w:right="0"/>
              <w:jc w:val="center"/>
              <w:rPr>
                <w:rFonts w:ascii="宋体" w:hAnsi="宋体" w:cs="宋体" w:eastAsia="宋体" w:hint="default"/>
                <w:sz w:val="18"/>
                <w:szCs w:val="18"/>
              </w:rPr>
            </w:pPr>
            <w:r>
              <w:rPr>
                <w:rFonts w:ascii="宋体"/>
                <w:sz w:val="18"/>
              </w:rPr>
              <w:t>70,000,000</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4.上海峰幽投资管理中心(普通合伙)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26,445,783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6" w:right="0"/>
              <w:jc w:val="center"/>
              <w:rPr>
                <w:rFonts w:ascii="宋体" w:hAnsi="宋体" w:cs="宋体" w:eastAsia="宋体" w:hint="default"/>
                <w:sz w:val="18"/>
                <w:szCs w:val="18"/>
              </w:rPr>
            </w:pPr>
            <w:r>
              <w:rPr>
                <w:rFonts w:ascii="宋体"/>
                <w:sz w:val="18"/>
              </w:rPr>
              <w:t>26,445,783</w:t>
            </w:r>
          </w:p>
        </w:tc>
      </w:tr>
    </w:tbl>
    <w:p>
      <w:pPr>
        <w:pStyle w:val="BodyText"/>
        <w:spacing w:line="240" w:lineRule="auto" w:before="74"/>
        <w:ind w:right="0"/>
        <w:jc w:val="left"/>
      </w:pPr>
      <w:r>
        <w:rPr/>
        <w:t>（4）截至</w:t>
      </w:r>
      <w:r>
        <w:rPr>
          <w:spacing w:val="-55"/>
        </w:rPr>
        <w:t> </w:t>
      </w:r>
      <w:r>
        <w:rPr/>
        <w:t>2018</w:t>
      </w:r>
      <w:r>
        <w:rPr>
          <w:spacing w:val="-55"/>
        </w:rPr>
        <w:t> </w:t>
      </w:r>
      <w:r>
        <w:rPr/>
        <w:t>年</w:t>
      </w:r>
      <w:r>
        <w:rPr>
          <w:spacing w:val="-53"/>
        </w:rPr>
        <w:t> </w:t>
      </w:r>
      <w:r>
        <w:rPr/>
        <w:t>4</w:t>
      </w:r>
      <w:r>
        <w:rPr>
          <w:spacing w:val="-55"/>
        </w:rPr>
        <w:t> </w:t>
      </w:r>
      <w:r>
        <w:rPr/>
        <w:t>月</w:t>
      </w:r>
      <w:r>
        <w:rPr>
          <w:spacing w:val="-53"/>
        </w:rPr>
        <w:t> </w:t>
      </w:r>
      <w:r>
        <w:rPr/>
        <w:t>13</w:t>
      </w:r>
      <w:r>
        <w:rPr>
          <w:spacing w:val="-2"/>
        </w:rPr>
        <w:t> </w:t>
      </w:r>
      <w:r>
        <w:rPr/>
        <w:t>日，本公司不存在其他应披露的资产负债表日后事项。</w:t>
      </w:r>
    </w:p>
    <w:p>
      <w:pPr>
        <w:spacing w:line="240" w:lineRule="auto" w:before="12"/>
        <w:rPr>
          <w:rFonts w:ascii="宋体" w:hAnsi="宋体" w:cs="宋体" w:eastAsia="宋体" w:hint="default"/>
          <w:sz w:val="23"/>
          <w:szCs w:val="23"/>
        </w:rPr>
      </w:pPr>
    </w:p>
    <w:p>
      <w:pPr>
        <w:spacing w:line="355" w:lineRule="auto" w:before="36"/>
        <w:ind w:left="566" w:right="6993" w:firstLine="9"/>
        <w:jc w:val="left"/>
        <w:rPr>
          <w:rFonts w:ascii="宋体" w:hAnsi="宋体" w:cs="宋体" w:eastAsia="宋体" w:hint="default"/>
          <w:sz w:val="21"/>
          <w:szCs w:val="21"/>
        </w:rPr>
      </w:pPr>
      <w:r>
        <w:rPr>
          <w:rFonts w:ascii="宋体" w:hAnsi="宋体" w:cs="宋体" w:eastAsia="宋体" w:hint="default"/>
          <w:b/>
          <w:bCs/>
          <w:sz w:val="21"/>
          <w:szCs w:val="21"/>
        </w:rPr>
        <w:t>十四、其他重要事项</w:t>
      </w:r>
      <w:r>
        <w:rPr>
          <w:rFonts w:ascii="宋体" w:hAnsi="宋体" w:cs="宋体" w:eastAsia="宋体" w:hint="default"/>
          <w:b/>
          <w:bCs/>
          <w:w w:val="100"/>
          <w:sz w:val="21"/>
          <w:szCs w:val="21"/>
        </w:rPr>
        <w:t> </w:t>
      </w:r>
      <w:r>
        <w:rPr>
          <w:rFonts w:ascii="宋体" w:hAnsi="宋体" w:cs="宋体" w:eastAsia="宋体" w:hint="default"/>
          <w:spacing w:val="-5"/>
          <w:sz w:val="21"/>
          <w:szCs w:val="21"/>
        </w:rPr>
        <w:t>1、前期差错更正</w:t>
      </w:r>
    </w:p>
    <w:p>
      <w:pPr>
        <w:pStyle w:val="BodyText"/>
        <w:spacing w:line="211" w:lineRule="exact" w:before="0"/>
        <w:ind w:left="352" w:right="0"/>
        <w:jc w:val="left"/>
      </w:pPr>
      <w:r>
        <w:rPr>
          <w:w w:val="100"/>
        </w:rPr>
        <w:t>无</w:t>
      </w:r>
    </w:p>
    <w:p>
      <w:pPr>
        <w:pStyle w:val="BodyText"/>
        <w:spacing w:line="240" w:lineRule="auto" w:before="130"/>
        <w:ind w:left="566" w:right="0"/>
        <w:jc w:val="left"/>
      </w:pPr>
      <w:r>
        <w:rPr>
          <w:spacing w:val="-4"/>
        </w:rPr>
        <w:t>2、债务重组</w:t>
      </w:r>
    </w:p>
    <w:p>
      <w:pPr>
        <w:pStyle w:val="BodyText"/>
        <w:spacing w:line="240" w:lineRule="auto" w:before="37"/>
        <w:ind w:left="352" w:right="0"/>
        <w:jc w:val="left"/>
      </w:pPr>
      <w:r>
        <w:rPr>
          <w:w w:val="100"/>
        </w:rPr>
        <w:t>无</w:t>
      </w:r>
    </w:p>
    <w:p>
      <w:pPr>
        <w:pStyle w:val="BodyText"/>
        <w:spacing w:line="240" w:lineRule="auto" w:before="130"/>
        <w:ind w:left="566" w:right="0"/>
        <w:jc w:val="left"/>
      </w:pPr>
      <w:r>
        <w:rPr>
          <w:spacing w:val="-4"/>
        </w:rPr>
        <w:t>3、资产置换</w:t>
      </w:r>
    </w:p>
    <w:p>
      <w:pPr>
        <w:pStyle w:val="BodyText"/>
        <w:spacing w:line="240" w:lineRule="auto" w:before="37"/>
        <w:ind w:left="352" w:right="0"/>
        <w:jc w:val="left"/>
      </w:pPr>
      <w:r>
        <w:rPr>
          <w:w w:val="100"/>
        </w:rPr>
        <w:t>无</w:t>
      </w:r>
    </w:p>
    <w:p>
      <w:pPr>
        <w:pStyle w:val="BodyText"/>
        <w:spacing w:line="240" w:lineRule="auto" w:before="131"/>
        <w:ind w:left="566" w:right="0"/>
        <w:jc w:val="left"/>
      </w:pPr>
      <w:r>
        <w:rPr>
          <w:spacing w:val="-4"/>
        </w:rPr>
        <w:t>4、年金计划</w:t>
      </w:r>
    </w:p>
    <w:p>
      <w:pPr>
        <w:pStyle w:val="BodyText"/>
        <w:spacing w:line="240" w:lineRule="auto" w:before="35"/>
        <w:ind w:left="352" w:right="0"/>
        <w:jc w:val="left"/>
      </w:pPr>
      <w:r>
        <w:rPr>
          <w:w w:val="100"/>
        </w:rPr>
        <w:t>无</w:t>
      </w:r>
    </w:p>
    <w:p>
      <w:pPr>
        <w:pStyle w:val="BodyText"/>
        <w:spacing w:line="240" w:lineRule="auto" w:before="130"/>
        <w:ind w:left="566" w:right="0"/>
        <w:jc w:val="left"/>
      </w:pPr>
      <w:r>
        <w:rPr>
          <w:spacing w:val="-4"/>
        </w:rPr>
        <w:t>5、终止经营</w:t>
      </w:r>
    </w:p>
    <w:p>
      <w:pPr>
        <w:spacing w:after="0" w:line="240" w:lineRule="auto"/>
        <w:jc w:val="left"/>
        <w:sectPr>
          <w:footerReference w:type="default" r:id="rId69"/>
          <w:pgSz w:w="11910" w:h="16840"/>
          <w:pgMar w:footer="1219" w:header="884" w:top="1140" w:bottom="1400" w:left="1320" w:right="1100"/>
          <w:pgNumType w:start="123"/>
        </w:sectPr>
      </w:pPr>
    </w:p>
    <w:p>
      <w:pPr>
        <w:pStyle w:val="BodyText"/>
        <w:spacing w:line="240" w:lineRule="auto" w:before="131"/>
        <w:ind w:left="352" w:right="0"/>
        <w:jc w:val="left"/>
      </w:pPr>
      <w:r>
        <w:rPr>
          <w:w w:val="100"/>
        </w:rPr>
        <w:t>无</w:t>
      </w:r>
    </w:p>
    <w:p>
      <w:pPr>
        <w:pStyle w:val="BodyText"/>
        <w:spacing w:line="273" w:lineRule="auto" w:before="131"/>
        <w:ind w:right="0" w:hanging="8"/>
        <w:jc w:val="left"/>
      </w:pPr>
      <w:r>
        <w:rPr>
          <w:spacing w:val="-4"/>
        </w:rPr>
        <w:t>6、分部信息</w:t>
      </w:r>
      <w:r>
        <w:rPr>
          <w:spacing w:val="-98"/>
        </w:rPr>
        <w:t> </w:t>
      </w:r>
      <w:r>
        <w:rPr>
          <w:spacing w:val="-98"/>
        </w:rPr>
      </w:r>
      <w:r>
        <w:rPr>
          <w:spacing w:val="-2"/>
        </w:rPr>
        <w:t>报告分部的确定依据与会计政策：本公司的分部报告按所属地区划分，各分部执行的会计政策</w:t>
      </w:r>
    </w:p>
    <w:p>
      <w:pPr>
        <w:pStyle w:val="BodyText"/>
        <w:spacing w:line="273" w:lineRule="auto"/>
        <w:ind w:right="7011" w:hanging="421"/>
        <w:jc w:val="left"/>
      </w:pPr>
      <w:r>
        <w:rPr/>
        <w:t>与本公司一致。</w:t>
      </w:r>
      <w:r>
        <w:rPr>
          <w:spacing w:val="-103"/>
        </w:rPr>
        <w:t> </w:t>
      </w:r>
      <w:r>
        <w:rPr>
          <w:spacing w:val="-103"/>
        </w:rPr>
      </w:r>
      <w:r>
        <w:rPr>
          <w:spacing w:val="-1"/>
        </w:rPr>
        <w:t>报告分部的财务信息</w:t>
      </w:r>
    </w:p>
    <w:tbl>
      <w:tblPr>
        <w:tblW w:w="0" w:type="auto"/>
        <w:jc w:val="left"/>
        <w:tblInd w:w="148" w:type="dxa"/>
        <w:tblLayout w:type="fixed"/>
        <w:tblCellMar>
          <w:top w:w="0" w:type="dxa"/>
          <w:left w:w="0" w:type="dxa"/>
          <w:bottom w:w="0" w:type="dxa"/>
          <w:right w:w="0" w:type="dxa"/>
        </w:tblCellMar>
        <w:tblLook w:val="01E0"/>
      </w:tblPr>
      <w:tblGrid>
        <w:gridCol w:w="1274"/>
        <w:gridCol w:w="1625"/>
        <w:gridCol w:w="1495"/>
        <w:gridCol w:w="1625"/>
        <w:gridCol w:w="1526"/>
        <w:gridCol w:w="1668"/>
      </w:tblGrid>
      <w:tr>
        <w:trPr>
          <w:trHeight w:val="42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7"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1" w:right="0"/>
              <w:jc w:val="left"/>
              <w:rPr>
                <w:rFonts w:ascii="宋体" w:hAnsi="宋体" w:cs="宋体" w:eastAsia="宋体" w:hint="default"/>
                <w:sz w:val="18"/>
                <w:szCs w:val="18"/>
              </w:rPr>
            </w:pPr>
            <w:r>
              <w:rPr>
                <w:rFonts w:ascii="宋体" w:hAnsi="宋体" w:cs="宋体" w:eastAsia="宋体" w:hint="default"/>
                <w:sz w:val="18"/>
                <w:szCs w:val="18"/>
              </w:rPr>
              <w:t>北京地区</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48"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2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sz w:val="18"/>
              </w:rPr>
              <w:t>703,122,724.11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18"/>
                <w:szCs w:val="18"/>
              </w:rPr>
            </w:pPr>
            <w:r>
              <w:rPr>
                <w:rFonts w:ascii="宋体"/>
                <w:sz w:val="18"/>
              </w:rPr>
              <w:t>1,404,262,363.50</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6"/>
              <w:jc w:val="right"/>
              <w:rPr>
                <w:rFonts w:ascii="宋体" w:hAnsi="宋体" w:cs="宋体" w:eastAsia="宋体" w:hint="default"/>
                <w:sz w:val="18"/>
                <w:szCs w:val="18"/>
              </w:rPr>
            </w:pPr>
            <w:r>
              <w:rPr>
                <w:rFonts w:ascii="宋体"/>
                <w:sz w:val="18"/>
              </w:rPr>
              <w:t>2,107,385,087.61</w:t>
            </w:r>
          </w:p>
        </w:tc>
      </w:tr>
      <w:tr>
        <w:trPr>
          <w:trHeight w:val="35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2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宋体" w:hAnsi="宋体" w:cs="宋体" w:eastAsia="宋体" w:hint="default"/>
                <w:sz w:val="18"/>
                <w:szCs w:val="18"/>
              </w:rPr>
            </w:pPr>
            <w:r>
              <w:rPr>
                <w:rFonts w:ascii="宋体"/>
                <w:sz w:val="18"/>
              </w:rPr>
              <w:t>469,139,723.20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18"/>
                <w:szCs w:val="18"/>
              </w:rPr>
            </w:pPr>
            <w:r>
              <w:rPr>
                <w:rFonts w:ascii="宋体"/>
                <w:sz w:val="18"/>
              </w:rPr>
              <w:t>1,139,888,750.01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6"/>
              <w:jc w:val="right"/>
              <w:rPr>
                <w:rFonts w:ascii="宋体" w:hAnsi="宋体" w:cs="宋体" w:eastAsia="宋体" w:hint="default"/>
                <w:sz w:val="18"/>
                <w:szCs w:val="18"/>
              </w:rPr>
            </w:pPr>
            <w:r>
              <w:rPr>
                <w:rFonts w:ascii="宋体"/>
                <w:sz w:val="18"/>
              </w:rPr>
              <w:t>1,609,028,473.21</w:t>
            </w:r>
          </w:p>
        </w:tc>
      </w:tr>
      <w:tr>
        <w:trPr>
          <w:trHeight w:val="35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2,157,369,297.69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564,846,931.08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855,725,477.73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23" w:right="0"/>
              <w:jc w:val="center"/>
              <w:rPr>
                <w:rFonts w:ascii="宋体" w:hAnsi="宋体" w:cs="宋体" w:eastAsia="宋体" w:hint="default"/>
                <w:sz w:val="18"/>
                <w:szCs w:val="18"/>
              </w:rPr>
            </w:pPr>
            <w:r>
              <w:rPr>
                <w:rFonts w:ascii="宋体"/>
                <w:sz w:val="18"/>
              </w:rPr>
              <w:t>-354,755,677.76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3,223,186,028.74</w:t>
            </w:r>
          </w:p>
        </w:tc>
      </w:tr>
      <w:tr>
        <w:trPr>
          <w:trHeight w:val="35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3,743,617.79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宋体" w:hAnsi="宋体" w:cs="宋体" w:eastAsia="宋体" w:hint="default"/>
                <w:sz w:val="18"/>
                <w:szCs w:val="18"/>
              </w:rPr>
            </w:pPr>
            <w:r>
              <w:rPr>
                <w:rFonts w:ascii="宋体"/>
                <w:sz w:val="18"/>
              </w:rPr>
              <w:t>153,009,084.84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405,404,759.24</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
              <w:jc w:val="right"/>
              <w:rPr>
                <w:rFonts w:ascii="宋体" w:hAnsi="宋体" w:cs="宋体" w:eastAsia="宋体" w:hint="default"/>
                <w:sz w:val="18"/>
                <w:szCs w:val="18"/>
              </w:rPr>
            </w:pPr>
            <w:r>
              <w:rPr>
                <w:rFonts w:ascii="宋体"/>
                <w:sz w:val="18"/>
              </w:rPr>
              <w:t>562,157,461.87</w:t>
            </w:r>
          </w:p>
        </w:tc>
      </w:tr>
    </w:tbl>
    <w:p>
      <w:pPr>
        <w:spacing w:line="240" w:lineRule="auto" w:before="13"/>
        <w:rPr>
          <w:rFonts w:ascii="宋体" w:hAnsi="宋体" w:cs="宋体" w:eastAsia="宋体" w:hint="default"/>
          <w:sz w:val="4"/>
          <w:szCs w:val="4"/>
        </w:rPr>
      </w:pPr>
    </w:p>
    <w:p>
      <w:pPr>
        <w:pStyle w:val="BodyText"/>
        <w:spacing w:line="273" w:lineRule="auto" w:before="36"/>
        <w:ind w:right="5291" w:hanging="8"/>
        <w:jc w:val="left"/>
      </w:pPr>
      <w:r>
        <w:rPr>
          <w:spacing w:val="-5"/>
        </w:rPr>
        <w:t>7、其他对投资者决策有影响的重要事项</w:t>
      </w:r>
      <w:r>
        <w:rPr>
          <w:spacing w:val="-83"/>
        </w:rPr>
        <w:t> </w:t>
      </w:r>
      <w:r>
        <w:rPr>
          <w:spacing w:val="-83"/>
        </w:rPr>
      </w:r>
      <w:r>
        <w:rPr/>
        <w:t>无</w:t>
      </w:r>
    </w:p>
    <w:p>
      <w:pPr>
        <w:spacing w:line="240" w:lineRule="auto" w:before="6"/>
        <w:rPr>
          <w:rFonts w:ascii="宋体" w:hAnsi="宋体" w:cs="宋体" w:eastAsia="宋体" w:hint="default"/>
          <w:sz w:val="24"/>
          <w:szCs w:val="24"/>
        </w:rPr>
      </w:pPr>
    </w:p>
    <w:p>
      <w:pPr>
        <w:spacing w:line="300" w:lineRule="auto" w:before="0"/>
        <w:ind w:left="573" w:right="5517" w:firstLine="2"/>
        <w:jc w:val="left"/>
        <w:rPr>
          <w:rFonts w:ascii="宋体" w:hAnsi="宋体" w:cs="宋体" w:eastAsia="宋体" w:hint="default"/>
          <w:sz w:val="21"/>
          <w:szCs w:val="21"/>
        </w:rPr>
      </w:pPr>
      <w:r>
        <w:rPr>
          <w:rFonts w:ascii="宋体" w:hAnsi="宋体" w:cs="宋体" w:eastAsia="宋体" w:hint="default"/>
          <w:b/>
          <w:bCs/>
          <w:sz w:val="21"/>
          <w:szCs w:val="21"/>
        </w:rPr>
        <w:t>十五、母公司财务报表主要项目注释</w:t>
      </w:r>
      <w:r>
        <w:rPr>
          <w:rFonts w:ascii="宋体" w:hAnsi="宋体" w:cs="宋体" w:eastAsia="宋体" w:hint="default"/>
          <w:b/>
          <w:bCs/>
          <w:w w:val="100"/>
          <w:sz w:val="21"/>
          <w:szCs w:val="21"/>
        </w:rPr>
        <w:t> </w:t>
      </w:r>
      <w:r>
        <w:rPr>
          <w:rFonts w:ascii="宋体" w:hAnsi="宋体" w:cs="宋体" w:eastAsia="宋体" w:hint="default"/>
          <w:sz w:val="21"/>
          <w:szCs w:val="21"/>
        </w:rPr>
        <w:t>1、其他应收款</w:t>
      </w:r>
    </w:p>
    <w:p>
      <w:pPr>
        <w:pStyle w:val="BodyText"/>
        <w:spacing w:line="240" w:lineRule="auto" w:before="16"/>
        <w:ind w:right="0"/>
        <w:jc w:val="left"/>
      </w:pPr>
      <w:r>
        <w:rPr/>
        <w:t>（1）其他应收款分类披露</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01"/>
        <w:gridCol w:w="1375"/>
        <w:gridCol w:w="991"/>
        <w:gridCol w:w="1135"/>
        <w:gridCol w:w="1363"/>
        <w:gridCol w:w="1248"/>
      </w:tblGrid>
      <w:tr>
        <w:trPr>
          <w:trHeight w:val="350" w:hRule="exact"/>
        </w:trPr>
        <w:tc>
          <w:tcPr>
            <w:tcW w:w="3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101" w:type="dxa"/>
            <w:vMerge/>
            <w:tcBorders>
              <w:left w:val="single" w:sz="4" w:space="0" w:color="000000"/>
              <w:right w:val="single" w:sz="4" w:space="0" w:color="000000"/>
            </w:tcBorders>
          </w:tcPr>
          <w:p>
            <w:pP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3101"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1"/>
              <w:jc w:val="right"/>
              <w:rPr>
                <w:rFonts w:ascii="宋体" w:hAnsi="宋体" w:cs="宋体" w:eastAsia="宋体" w:hint="default"/>
                <w:sz w:val="18"/>
                <w:szCs w:val="18"/>
              </w:rPr>
            </w:pPr>
            <w:r>
              <w:rPr>
                <w:rFonts w:ascii="宋体" w:hAnsi="宋体" w:cs="宋体" w:eastAsia="宋体" w:hint="default"/>
                <w:sz w:val="18"/>
                <w:szCs w:val="18"/>
              </w:rPr>
              <w:t>比例（%）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48" w:type="dxa"/>
            <w:vMerge/>
            <w:tcBorders>
              <w:left w:val="single" w:sz="4" w:space="0" w:color="000000"/>
              <w:bottom w:val="single" w:sz="4" w:space="0" w:color="000000"/>
              <w:right w:val="single" w:sz="4" w:space="0" w:color="000000"/>
            </w:tcBorders>
          </w:tcPr>
          <w:p>
            <w:pPr/>
          </w:p>
        </w:tc>
      </w:tr>
      <w:tr>
        <w:trPr>
          <w:trHeight w:val="478"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单项金额重大并单独计提坏账准备的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按信用风险特征组合计提坏账准备的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30" w:right="0"/>
              <w:jc w:val="left"/>
              <w:rPr>
                <w:rFonts w:ascii="宋体" w:hAnsi="宋体" w:cs="宋体" w:eastAsia="宋体" w:hint="default"/>
                <w:sz w:val="18"/>
                <w:szCs w:val="18"/>
              </w:rPr>
            </w:pPr>
            <w:r>
              <w:rPr>
                <w:rFonts w:ascii="宋体"/>
                <w:sz w:val="18"/>
              </w:rPr>
              <w:t>21,453.82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1" w:right="0"/>
              <w:jc w:val="left"/>
              <w:rPr>
                <w:rFonts w:ascii="宋体" w:hAnsi="宋体" w:cs="宋体" w:eastAsia="宋体" w:hint="default"/>
                <w:sz w:val="18"/>
                <w:szCs w:val="18"/>
              </w:rPr>
            </w:pPr>
            <w:r>
              <w:rPr>
                <w:rFonts w:ascii="宋体"/>
                <w:sz w:val="18"/>
              </w:rPr>
              <w:t>1,072.69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20,381.13</w:t>
            </w:r>
          </w:p>
        </w:tc>
      </w:tr>
      <w:tr>
        <w:trPr>
          <w:trHeight w:val="35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宋体"/>
                <w:sz w:val="18"/>
              </w:rPr>
              <w:t>21,453.82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sz w:val="18"/>
              </w:rPr>
              <w:t>1,072.69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20,381.13</w:t>
            </w:r>
          </w:p>
        </w:tc>
      </w:tr>
      <w:tr>
        <w:trPr>
          <w:trHeight w:val="478"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单项金额不重大但单独计提坏账准备</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宋体"/>
                <w:sz w:val="18"/>
              </w:rPr>
              <w:t>21,453.82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sz w:val="18"/>
              </w:rPr>
              <w:t>1,072.69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20,381.13</w:t>
            </w:r>
          </w:p>
        </w:tc>
      </w:tr>
    </w:tbl>
    <w:p>
      <w:pPr>
        <w:pStyle w:val="BodyText"/>
        <w:spacing w:line="240" w:lineRule="auto" w:before="81"/>
        <w:ind w:right="0"/>
        <w:jc w:val="left"/>
      </w:pPr>
      <w:r>
        <w:rPr/>
        <w:t>（续）</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01"/>
        <w:gridCol w:w="1375"/>
        <w:gridCol w:w="991"/>
        <w:gridCol w:w="1135"/>
        <w:gridCol w:w="1363"/>
        <w:gridCol w:w="1248"/>
      </w:tblGrid>
      <w:tr>
        <w:trPr>
          <w:trHeight w:val="348" w:hRule="exact"/>
        </w:trPr>
        <w:tc>
          <w:tcPr>
            <w:tcW w:w="3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101" w:type="dxa"/>
            <w:vMerge/>
            <w:tcBorders>
              <w:left w:val="single" w:sz="4" w:space="0" w:color="000000"/>
              <w:right w:val="single" w:sz="4" w:space="0" w:color="000000"/>
            </w:tcBorders>
          </w:tcPr>
          <w:p>
            <w:pP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3101"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1"/>
              <w:jc w:val="right"/>
              <w:rPr>
                <w:rFonts w:ascii="宋体" w:hAnsi="宋体" w:cs="宋体" w:eastAsia="宋体" w:hint="default"/>
                <w:sz w:val="18"/>
                <w:szCs w:val="18"/>
              </w:rPr>
            </w:pPr>
            <w:r>
              <w:rPr>
                <w:rFonts w:ascii="宋体" w:hAnsi="宋体" w:cs="宋体" w:eastAsia="宋体" w:hint="default"/>
                <w:sz w:val="18"/>
                <w:szCs w:val="18"/>
              </w:rPr>
              <w:t>比例（%）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48" w:type="dxa"/>
            <w:vMerge/>
            <w:tcBorders>
              <w:left w:val="single" w:sz="4" w:space="0" w:color="000000"/>
              <w:bottom w:val="single" w:sz="4" w:space="0" w:color="000000"/>
              <w:right w:val="single" w:sz="4" w:space="0" w:color="000000"/>
            </w:tcBorders>
          </w:tcPr>
          <w:p>
            <w:pPr/>
          </w:p>
        </w:tc>
      </w:tr>
      <w:tr>
        <w:trPr>
          <w:trHeight w:val="478"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单项金额重大并单独计提坏账准备的</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按信用风险特征组合计提坏账准备的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30" w:right="0"/>
              <w:jc w:val="left"/>
              <w:rPr>
                <w:rFonts w:ascii="宋体" w:hAnsi="宋体" w:cs="宋体" w:eastAsia="宋体" w:hint="default"/>
                <w:sz w:val="18"/>
                <w:szCs w:val="18"/>
              </w:rPr>
            </w:pPr>
            <w:r>
              <w:rPr>
                <w:rFonts w:ascii="宋体"/>
                <w:sz w:val="18"/>
              </w:rPr>
              <w:t>19,412.08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970.60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18,441.48</w:t>
            </w:r>
          </w:p>
        </w:tc>
      </w:tr>
      <w:tr>
        <w:trPr>
          <w:trHeight w:val="348"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宋体"/>
                <w:sz w:val="18"/>
              </w:rPr>
              <w:t>19,412.08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970.60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18,441.48</w:t>
            </w:r>
          </w:p>
        </w:tc>
      </w:tr>
      <w:tr>
        <w:trPr>
          <w:trHeight w:val="478"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单项金额不重大但单独计提坏账准备</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3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宋体"/>
                <w:sz w:val="18"/>
              </w:rPr>
              <w:t>19,412.08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970.60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18,441.48</w:t>
            </w:r>
          </w:p>
        </w:tc>
      </w:tr>
    </w:tbl>
    <w:p>
      <w:pPr>
        <w:pStyle w:val="BodyText"/>
        <w:spacing w:line="240" w:lineRule="auto" w:before="81"/>
        <w:ind w:right="0"/>
        <w:jc w:val="left"/>
      </w:pPr>
      <w:r>
        <w:rPr/>
        <w:t>组合中，按账龄分析法计提坏账准备的其他应收款</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976"/>
        <w:gridCol w:w="2126"/>
        <w:gridCol w:w="1985"/>
        <w:gridCol w:w="2126"/>
      </w:tblGrid>
      <w:tr>
        <w:trPr>
          <w:trHeight w:val="322"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976"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21,453.82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1,072.69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21,453.82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1,072.69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r>
    </w:tbl>
    <w:p>
      <w:pPr>
        <w:spacing w:after="0" w:line="240" w:lineRule="auto"/>
        <w:jc w:val="right"/>
        <w:rPr>
          <w:rFonts w:ascii="宋体" w:hAnsi="宋体" w:cs="宋体" w:eastAsia="宋体" w:hint="default"/>
          <w:sz w:val="18"/>
          <w:szCs w:val="18"/>
        </w:rPr>
        <w:sectPr>
          <w:pgSz w:w="11910" w:h="16840"/>
          <w:pgMar w:header="884" w:footer="1219" w:top="1140" w:bottom="1400" w:left="1320" w:right="1100"/>
        </w:sectPr>
      </w:pPr>
    </w:p>
    <w:p>
      <w:pPr>
        <w:pStyle w:val="BodyText"/>
        <w:spacing w:line="240" w:lineRule="auto" w:before="134"/>
        <w:ind w:right="0"/>
        <w:jc w:val="left"/>
      </w:pPr>
      <w:bookmarkStart w:name="3、投资收益 " w:id="8"/>
      <w:bookmarkEnd w:id="8"/>
      <w:r>
        <w:rPr/>
      </w:r>
      <w:r>
        <w:rPr/>
        <w:t>（续）</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976"/>
        <w:gridCol w:w="1987"/>
        <w:gridCol w:w="1982"/>
        <w:gridCol w:w="2268"/>
      </w:tblGrid>
      <w:tr>
        <w:trPr>
          <w:trHeight w:val="350"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2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976" w:type="dxa"/>
            <w:vMerge/>
            <w:tcBorders>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45"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19,412.08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970.60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r>
      <w:tr>
        <w:trPr>
          <w:trHeight w:val="35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19,412.08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970.60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r>
    </w:tbl>
    <w:p>
      <w:pPr>
        <w:pStyle w:val="BodyText"/>
        <w:spacing w:line="273" w:lineRule="auto" w:before="81"/>
        <w:ind w:right="4699"/>
        <w:jc w:val="left"/>
      </w:pPr>
      <w:r>
        <w:rPr>
          <w:spacing w:val="-2"/>
        </w:rPr>
        <w:t>（2）本期计提、收回或转回的坏账准备情况</w:t>
      </w:r>
      <w:r>
        <w:rPr>
          <w:spacing w:val="-69"/>
        </w:rPr>
        <w:t> </w:t>
      </w:r>
      <w:r>
        <w:rPr>
          <w:spacing w:val="-69"/>
        </w:rPr>
      </w:r>
      <w:r>
        <w:rPr/>
        <w:t>本期提坏账准备金额</w:t>
      </w:r>
      <w:r>
        <w:rPr>
          <w:spacing w:val="-56"/>
        </w:rPr>
        <w:t> </w:t>
      </w:r>
      <w:r>
        <w:rPr/>
        <w:t>102.09</w:t>
      </w:r>
      <w:r>
        <w:rPr>
          <w:spacing w:val="-56"/>
        </w:rPr>
        <w:t> </w:t>
      </w:r>
      <w:r>
        <w:rPr/>
        <w:t>元。</w:t>
      </w:r>
    </w:p>
    <w:p>
      <w:pPr>
        <w:pStyle w:val="BodyText"/>
        <w:spacing w:line="240" w:lineRule="auto"/>
        <w:ind w:right="0"/>
        <w:jc w:val="left"/>
      </w:pPr>
      <w:r>
        <w:rPr/>
        <w:t>（3）其他应收款按款项性质分类情况</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394"/>
        <w:gridCol w:w="2537"/>
        <w:gridCol w:w="2282"/>
      </w:tblGrid>
      <w:tr>
        <w:trPr>
          <w:trHeight w:val="348"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21,453.82</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19,412.08</w:t>
            </w:r>
          </w:p>
        </w:tc>
      </w:tr>
      <w:tr>
        <w:trPr>
          <w:trHeight w:val="350"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21,453.82</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19,412.08</w:t>
            </w:r>
          </w:p>
        </w:tc>
      </w:tr>
    </w:tbl>
    <w:p>
      <w:pPr>
        <w:pStyle w:val="BodyText"/>
        <w:spacing w:line="240" w:lineRule="auto" w:before="81"/>
        <w:ind w:right="0"/>
        <w:jc w:val="left"/>
      </w:pPr>
      <w:r>
        <w:rPr/>
        <w:t>（4）按欠款方归集的期末余额前五名的其他应收款情况</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97"/>
        <w:gridCol w:w="1548"/>
        <w:gridCol w:w="1418"/>
        <w:gridCol w:w="991"/>
        <w:gridCol w:w="1985"/>
        <w:gridCol w:w="1274"/>
      </w:tblGrid>
      <w:tr>
        <w:trPr>
          <w:trHeight w:val="47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08"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09"/>
              <w:jc w:val="right"/>
              <w:rPr>
                <w:rFonts w:ascii="宋体" w:hAnsi="宋体" w:cs="宋体" w:eastAsia="宋体" w:hint="default"/>
                <w:sz w:val="18"/>
                <w:szCs w:val="18"/>
              </w:rPr>
            </w:pPr>
            <w:r>
              <w:rPr>
                <w:rFonts w:ascii="宋体" w:hAnsi="宋体" w:cs="宋体" w:eastAsia="宋体" w:hint="default"/>
                <w:sz w:val="18"/>
                <w:szCs w:val="18"/>
              </w:rPr>
              <w:t>账龄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占其他应收款期末余额</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合计数的比例（%）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代垫保险金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21,453.82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1,072.69</w:t>
            </w:r>
          </w:p>
        </w:tc>
      </w:tr>
      <w:tr>
        <w:trPr>
          <w:trHeight w:val="35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21,453.82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1,072.69</w:t>
            </w:r>
          </w:p>
        </w:tc>
      </w:tr>
    </w:tbl>
    <w:p>
      <w:pPr>
        <w:pStyle w:val="BodyText"/>
        <w:spacing w:line="240" w:lineRule="auto" w:before="81"/>
        <w:ind w:right="0"/>
        <w:jc w:val="left"/>
      </w:pPr>
      <w:r>
        <w:rPr/>
        <w:t>2、长期股权投资</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462"/>
        <w:gridCol w:w="2074"/>
        <w:gridCol w:w="708"/>
        <w:gridCol w:w="708"/>
        <w:gridCol w:w="1421"/>
        <w:gridCol w:w="991"/>
        <w:gridCol w:w="850"/>
      </w:tblGrid>
      <w:tr>
        <w:trPr>
          <w:trHeight w:val="350" w:hRule="exact"/>
        </w:trPr>
        <w:tc>
          <w:tcPr>
            <w:tcW w:w="2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20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478" w:hRule="exact"/>
        </w:trPr>
        <w:tc>
          <w:tcPr>
            <w:tcW w:w="2462" w:type="dxa"/>
            <w:vMerge/>
            <w:tcBorders>
              <w:left w:val="single" w:sz="4" w:space="0" w:color="000000"/>
              <w:bottom w:val="single" w:sz="4" w:space="0" w:color="000000"/>
              <w:right w:val="single" w:sz="4" w:space="0" w:color="000000"/>
            </w:tcBorders>
          </w:tcPr>
          <w:p>
            <w:pPr/>
          </w:p>
        </w:tc>
        <w:tc>
          <w:tcPr>
            <w:tcW w:w="2074"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追加</w:t>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宋体" w:hAnsi="宋体" w:cs="宋体" w:eastAsia="宋体" w:hint="default"/>
                <w:spacing w:val="-66"/>
                <w:sz w:val="18"/>
                <w:szCs w:val="18"/>
              </w:rPr>
              <w:t> </w:t>
            </w:r>
            <w:r>
              <w:rPr>
                <w:rFonts w:ascii="宋体" w:hAnsi="宋体" w:cs="宋体" w:eastAsia="宋体" w:hint="default"/>
                <w:sz w:val="18"/>
                <w:szCs w:val="18"/>
              </w:rPr>
              <w:t>法</w:t>
            </w:r>
            <w:r>
              <w:rPr>
                <w:rFonts w:ascii="宋体" w:hAnsi="宋体" w:cs="宋体" w:eastAsia="宋体" w:hint="default"/>
                <w:spacing w:val="-66"/>
                <w:sz w:val="18"/>
                <w:szCs w:val="18"/>
              </w:rPr>
              <w:t> </w:t>
            </w:r>
            <w:r>
              <w:rPr>
                <w:rFonts w:ascii="宋体" w:hAnsi="宋体" w:cs="宋体" w:eastAsia="宋体" w:hint="default"/>
                <w:sz w:val="18"/>
                <w:szCs w:val="18"/>
              </w:rPr>
              <w:t>下</w:t>
            </w:r>
            <w:r>
              <w:rPr>
                <w:rFonts w:ascii="宋体" w:hAnsi="宋体" w:cs="宋体" w:eastAsia="宋体" w:hint="default"/>
                <w:spacing w:val="-66"/>
                <w:sz w:val="18"/>
                <w:szCs w:val="18"/>
              </w:rPr>
              <w:t> </w:t>
            </w:r>
            <w:r>
              <w:rPr>
                <w:rFonts w:ascii="宋体" w:hAnsi="宋体" w:cs="宋体" w:eastAsia="宋体" w:hint="default"/>
                <w:sz w:val="18"/>
                <w:szCs w:val="18"/>
              </w:rPr>
              <w:t>确</w:t>
            </w:r>
            <w:r>
              <w:rPr>
                <w:rFonts w:ascii="宋体" w:hAnsi="宋体" w:cs="宋体" w:eastAsia="宋体" w:hint="default"/>
                <w:spacing w:val="-66"/>
                <w:sz w:val="18"/>
                <w:szCs w:val="18"/>
              </w:rPr>
              <w:t> </w:t>
            </w:r>
            <w:r>
              <w:rPr>
                <w:rFonts w:ascii="宋体" w:hAnsi="宋体" w:cs="宋体" w:eastAsia="宋体" w:hint="default"/>
                <w:sz w:val="18"/>
                <w:szCs w:val="18"/>
              </w:rPr>
              <w:t>认</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的投资损益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益变动</w:t>
            </w:r>
          </w:p>
        </w:tc>
      </w:tr>
      <w:tr>
        <w:trPr>
          <w:trHeight w:val="350"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4"/>
              <w:jc w:val="center"/>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898,000,000.00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4"/>
              <w:jc w:val="center"/>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1,200,000,000.00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2,098,000,000.00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right="0"/>
        <w:jc w:val="left"/>
      </w:pPr>
      <w:r>
        <w:rPr/>
        <w:t>（续）</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458"/>
        <w:gridCol w:w="1373"/>
        <w:gridCol w:w="989"/>
        <w:gridCol w:w="994"/>
        <w:gridCol w:w="1978"/>
        <w:gridCol w:w="1423"/>
      </w:tblGrid>
      <w:tr>
        <w:trPr>
          <w:trHeight w:val="350" w:hRule="exact"/>
        </w:trPr>
        <w:tc>
          <w:tcPr>
            <w:tcW w:w="24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3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9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23" w:type="dxa"/>
            <w:vMerge w:val="restart"/>
            <w:tcBorders>
              <w:top w:val="single" w:sz="4" w:space="0" w:color="000000"/>
              <w:left w:val="single" w:sz="4" w:space="0" w:color="000000"/>
              <w:right w:val="single" w:sz="4" w:space="0" w:color="000000"/>
            </w:tcBorders>
          </w:tcPr>
          <w:p>
            <w:pPr>
              <w:pStyle w:val="TableParagraph"/>
              <w:spacing w:line="316" w:lineRule="auto" w:before="106"/>
              <w:ind w:left="525" w:right="16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78" w:hRule="exact"/>
        </w:trPr>
        <w:tc>
          <w:tcPr>
            <w:tcW w:w="2458"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计提减值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8"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r>
      <w:tr>
        <w:trPr>
          <w:trHeight w:val="350"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9"/>
              <w:jc w:val="center"/>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37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898,000,000.00</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9"/>
              <w:jc w:val="center"/>
              <w:rPr>
                <w:rFonts w:ascii="宋体" w:hAnsi="宋体" w:cs="宋体" w:eastAsia="宋体" w:hint="default"/>
                <w:sz w:val="18"/>
                <w:szCs w:val="18"/>
              </w:rPr>
            </w:pPr>
            <w:r>
              <w:rPr>
                <w:rFonts w:ascii="宋体" w:hAnsi="宋体" w:cs="宋体" w:eastAsia="宋体" w:hint="default"/>
                <w:sz w:val="18"/>
                <w:szCs w:val="18"/>
              </w:rPr>
              <w:t>广东长实通信科技有限公司</w:t>
            </w:r>
          </w:p>
        </w:tc>
        <w:tc>
          <w:tcPr>
            <w:tcW w:w="137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1,200,000,000.00</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2,098,000,000.00</w:t>
            </w:r>
          </w:p>
        </w:tc>
        <w:tc>
          <w:tcPr>
            <w:tcW w:w="14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1"/>
        <w:ind w:right="0"/>
        <w:jc w:val="left"/>
      </w:pPr>
      <w:r>
        <w:rPr/>
        <w:t>3、投资收益</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536"/>
        <w:gridCol w:w="2268"/>
        <w:gridCol w:w="2410"/>
      </w:tblGrid>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20,000,000.00</w:t>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宋体" w:hAnsi="宋体" w:cs="宋体" w:eastAsia="宋体" w:hint="default"/>
                <w:sz w:val="18"/>
                <w:szCs w:val="18"/>
              </w:rPr>
            </w:pPr>
            <w:r>
              <w:rPr>
                <w:rFonts w:ascii="宋体"/>
                <w:sz w:val="18"/>
              </w:rPr>
              <w:t>1,886,923.57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458,531.51</w:t>
            </w:r>
          </w:p>
        </w:tc>
      </w:tr>
      <w:tr>
        <w:trPr>
          <w:trHeight w:val="35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宋体" w:hAnsi="宋体" w:cs="宋体" w:eastAsia="宋体" w:hint="default"/>
                <w:sz w:val="18"/>
                <w:szCs w:val="18"/>
              </w:rPr>
            </w:pPr>
            <w:r>
              <w:rPr>
                <w:rFonts w:ascii="宋体"/>
                <w:sz w:val="18"/>
              </w:rPr>
              <w:t>1,886,923.57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20,458,531.51</w:t>
            </w:r>
          </w:p>
        </w:tc>
      </w:tr>
    </w:tbl>
    <w:p>
      <w:pPr>
        <w:spacing w:line="240" w:lineRule="auto" w:before="2"/>
        <w:rPr>
          <w:rFonts w:ascii="宋体" w:hAnsi="宋体" w:cs="宋体" w:eastAsia="宋体" w:hint="default"/>
          <w:sz w:val="20"/>
          <w:szCs w:val="20"/>
        </w:rPr>
      </w:pPr>
    </w:p>
    <w:p>
      <w:pPr>
        <w:spacing w:before="36"/>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十六、补充资料</w:t>
      </w:r>
      <w:r>
        <w:rPr>
          <w:rFonts w:ascii="宋体" w:hAnsi="宋体" w:cs="宋体" w:eastAsia="宋体" w:hint="default"/>
          <w:sz w:val="21"/>
          <w:szCs w:val="21"/>
        </w:rPr>
      </w:r>
    </w:p>
    <w:p>
      <w:pPr>
        <w:pStyle w:val="BodyText"/>
        <w:spacing w:line="240" w:lineRule="auto" w:before="68"/>
        <w:ind w:right="0"/>
        <w:jc w:val="left"/>
      </w:pPr>
      <w:r>
        <w:rPr>
          <w:rFonts w:ascii="Arial" w:hAnsi="Arial" w:cs="Arial" w:eastAsia="Arial" w:hint="default"/>
        </w:rPr>
        <w:t>1</w:t>
      </w:r>
      <w:r>
        <w:rPr/>
        <w:t>、本期非经常性损益明细表</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5930"/>
        <w:gridCol w:w="1726"/>
        <w:gridCol w:w="1558"/>
      </w:tblGrid>
      <w:tr>
        <w:trPr>
          <w:trHeight w:val="521"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2" w:right="0"/>
              <w:jc w:val="left"/>
              <w:rPr>
                <w:rFonts w:ascii="宋体" w:hAnsi="宋体" w:cs="宋体" w:eastAsia="宋体" w:hint="default"/>
                <w:sz w:val="18"/>
                <w:szCs w:val="18"/>
              </w:rPr>
            </w:pPr>
            <w:r>
              <w:rPr>
                <w:rFonts w:ascii="宋体"/>
                <w:sz w:val="18"/>
              </w:rPr>
              <w:t>-81,880.85</w:t>
            </w: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219" w:top="1140" w:bottom="1400" w:left="1320" w:right="1100"/>
        </w:sectPr>
      </w:pPr>
    </w:p>
    <w:p>
      <w:pPr>
        <w:spacing w:line="240" w:lineRule="auto" w:before="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5930"/>
        <w:gridCol w:w="1726"/>
        <w:gridCol w:w="1558"/>
      </w:tblGrid>
      <w:tr>
        <w:trPr>
          <w:trHeight w:val="521"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越权审批，或无正式批准文件，或偶发的税收返还、减免</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4" w:right="21"/>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计入当期损益的政府补助，但与企业正常经营业务密切相关，符合国家政策</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规定，按照一定标准定额或定量持续享受的政府补助除外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6,837,717.00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19"/>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w:t>
            </w:r>
            <w:r>
              <w:rPr>
                <w:rFonts w:ascii="宋体" w:hAnsi="宋体" w:cs="宋体" w:eastAsia="宋体" w:hint="default"/>
                <w:sz w:val="18"/>
                <w:szCs w:val="18"/>
              </w:rPr>
              <w:t> 投资单位可辨认净资产公允价值产生的收益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12"/>
                <w:sz w:val="18"/>
                <w:szCs w:val="18"/>
              </w:rPr>
              <w:t>同一控制下企业合并产生的子公司期初至合并日的当期净损益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763"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24" w:right="2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3"/>
                <w:sz w:val="18"/>
                <w:szCs w:val="18"/>
              </w:rPr>
              <w:t>交易性金融负债产生的公允价值变动损益，以及处置交易性金融资产、交易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性金融负债和可供出售金融资产取得的投资收益</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left="792" w:right="0"/>
              <w:jc w:val="left"/>
              <w:rPr>
                <w:rFonts w:ascii="宋体" w:hAnsi="宋体" w:cs="宋体" w:eastAsia="宋体" w:hint="default"/>
                <w:sz w:val="18"/>
                <w:szCs w:val="18"/>
              </w:rPr>
            </w:pPr>
            <w:r>
              <w:rPr>
                <w:rFonts w:ascii="宋体"/>
                <w:sz w:val="18"/>
              </w:rPr>
              <w:t>104,182.24</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根据税收、会计等法律、法规的要求对当期损益进行一次性调整对当期损益</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-4,471,530.11</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2,388,488.28</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444,058.72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子公司影响数</w:t>
            </w:r>
          </w:p>
        </w:tc>
      </w:tr>
      <w:tr>
        <w:trPr>
          <w:trHeight w:val="324"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1,944,429.56</w:t>
            </w:r>
          </w:p>
        </w:tc>
        <w:tc>
          <w:tcPr>
            <w:tcW w:w="15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before="81"/>
        <w:ind w:right="0"/>
        <w:jc w:val="left"/>
      </w:pPr>
      <w:r>
        <w:rPr/>
        <w:t>注：非经常性损益项目中的数字“+”表示收益及收入,"-"表示损失或支出。</w:t>
      </w:r>
      <w:r>
        <w:rPr>
          <w:w w:val="100"/>
        </w:rPr>
        <w:t> </w:t>
      </w:r>
      <w:r>
        <w:rPr/>
        <w:t>本公司对非经常性损益项目的确认依照《公开发行证券的公司信息披露解释性公告第1号——</w:t>
      </w:r>
    </w:p>
    <w:p>
      <w:pPr>
        <w:pStyle w:val="BodyText"/>
        <w:spacing w:line="355" w:lineRule="auto"/>
        <w:ind w:right="4178" w:hanging="421"/>
        <w:jc w:val="left"/>
      </w:pPr>
      <w:r>
        <w:rPr/>
        <w:pict>
          <v:shape style="position:absolute;margin-left:73.440002pt;margin-top:36.732941pt;width:461.4pt;height:70.6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1"/>
                    <w:gridCol w:w="1843"/>
                    <w:gridCol w:w="1702"/>
                    <w:gridCol w:w="1558"/>
                  </w:tblGrid>
                  <w:tr>
                    <w:trPr>
                      <w:trHeight w:val="350" w:hRule="exact"/>
                    </w:trPr>
                    <w:tc>
                      <w:tcPr>
                        <w:tcW w:w="41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43" w:type="dxa"/>
                        <w:vMerge w:val="restart"/>
                        <w:tcBorders>
                          <w:top w:val="single" w:sz="4" w:space="0" w:color="000000"/>
                          <w:left w:val="single" w:sz="4" w:space="0" w:color="000000"/>
                          <w:right w:val="single" w:sz="4" w:space="0" w:color="000000"/>
                        </w:tcBorders>
                      </w:tcPr>
                      <w:p>
                        <w:pPr>
                          <w:pStyle w:val="TableParagraph"/>
                          <w:spacing w:line="316" w:lineRule="auto" w:before="42"/>
                          <w:ind w:left="24" w:right="547"/>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0" w:hRule="exact"/>
                    </w:trPr>
                    <w:tc>
                      <w:tcPr>
                        <w:tcW w:w="4111"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宋体" w:hAnsi="宋体" w:cs="宋体" w:eastAsia="宋体" w:hint="default"/>
                            <w:sz w:val="18"/>
                            <w:szCs w:val="18"/>
                          </w:rPr>
                        </w:pPr>
                        <w:r>
                          <w:rPr>
                            <w:rFonts w:ascii="宋体"/>
                            <w:sz w:val="18"/>
                          </w:rPr>
                          <w:t>8.93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0.3676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0.3676</w:t>
                        </w:r>
                      </w:p>
                    </w:tc>
                  </w:tr>
                  <w:tr>
                    <w:trPr>
                      <w:trHeight w:val="35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扣除非经常损益后归属于普通股股东的净利润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宋体" w:hAnsi="宋体" w:cs="宋体" w:eastAsia="宋体" w:hint="default"/>
                            <w:sz w:val="18"/>
                            <w:szCs w:val="18"/>
                          </w:rPr>
                        </w:pPr>
                        <w:r>
                          <w:rPr>
                            <w:rFonts w:ascii="宋体"/>
                            <w:sz w:val="18"/>
                          </w:rPr>
                          <w:t>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0.3645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z w:val="18"/>
                          </w:rPr>
                          <w:t>0.3645</w:t>
                        </w:r>
                      </w:p>
                    </w:tc>
                  </w:tr>
                </w:tbl>
                <w:p>
                  <w:pPr/>
                </w:p>
              </w:txbxContent>
            </v:textbox>
            <w10:wrap type="none"/>
          </v:shape>
        </w:pict>
      </w:r>
      <w:r>
        <w:rPr>
          <w:spacing w:val="-5"/>
          <w:w w:val="100"/>
        </w:rPr>
        <w:t>非经常性损益》（证监会公告[2008]43号）的规定执行。</w:t>
      </w:r>
      <w:r>
        <w:rPr>
          <w:spacing w:val="-101"/>
          <w:w w:val="100"/>
        </w:rPr>
        <w:t> </w:t>
      </w:r>
      <w:r>
        <w:rPr>
          <w:spacing w:val="-101"/>
          <w:w w:val="100"/>
        </w:rPr>
      </w:r>
      <w:r>
        <w:rPr/>
        <w:t>2、净资产收益率及每股收益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73" w:lineRule="auto" w:before="36"/>
        <w:ind w:right="5517"/>
        <w:jc w:val="left"/>
      </w:pPr>
      <w:r>
        <w:rPr>
          <w:spacing w:val="-2"/>
        </w:rPr>
        <w:t>3、境内外会计准则下会计数据差异</w:t>
      </w:r>
      <w:r>
        <w:rPr>
          <w:spacing w:val="-76"/>
        </w:rPr>
        <w:t> </w:t>
      </w:r>
      <w:r>
        <w:rPr>
          <w:spacing w:val="-76"/>
        </w:rPr>
      </w:r>
      <w:r>
        <w:rPr/>
        <w:t>无</w:t>
      </w:r>
    </w:p>
    <w:p>
      <w:pPr>
        <w:pStyle w:val="BodyText"/>
        <w:spacing w:line="271" w:lineRule="auto" w:before="101"/>
        <w:ind w:right="4178"/>
        <w:jc w:val="left"/>
      </w:pPr>
      <w:r>
        <w:rPr>
          <w:spacing w:val="-2"/>
        </w:rPr>
        <w:t>4、会计政策变更和重大前期差错更正相关补充资料</w:t>
      </w:r>
      <w:r>
        <w:rPr>
          <w:spacing w:val="-62"/>
        </w:rPr>
        <w:t> </w:t>
      </w:r>
      <w:r>
        <w:rPr>
          <w:spacing w:val="-62"/>
        </w:rPr>
      </w:r>
      <w:r>
        <w:rPr/>
        <w:t>无</w:t>
      </w:r>
    </w:p>
    <w:p>
      <w:pPr>
        <w:spacing w:after="0" w:line="271" w:lineRule="auto"/>
        <w:jc w:val="left"/>
        <w:sectPr>
          <w:pgSz w:w="11910" w:h="16840"/>
          <w:pgMar w:header="884" w:footer="1219" w:top="1140" w:bottom="1400" w:left="1320" w:right="1100"/>
        </w:sectPr>
      </w:pPr>
    </w:p>
    <w:p>
      <w:pPr>
        <w:spacing w:before="131"/>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十八、财务报表的批准</w:t>
      </w:r>
      <w:r>
        <w:rPr>
          <w:rFonts w:ascii="宋体" w:hAnsi="宋体" w:cs="宋体" w:eastAsia="宋体" w:hint="default"/>
          <w:sz w:val="21"/>
          <w:szCs w:val="21"/>
        </w:rPr>
      </w:r>
    </w:p>
    <w:p>
      <w:pPr>
        <w:pStyle w:val="BodyText"/>
        <w:spacing w:line="544" w:lineRule="auto" w:before="37"/>
        <w:ind w:right="3049"/>
        <w:jc w:val="left"/>
      </w:pPr>
      <w:r>
        <w:rPr/>
        <w:t>本财务报表业经本公司董事会于</w:t>
      </w:r>
      <w:r>
        <w:rPr>
          <w:spacing w:val="-53"/>
        </w:rPr>
        <w:t> </w:t>
      </w:r>
      <w:r>
        <w:rPr/>
        <w:t>2018</w:t>
      </w:r>
      <w:r>
        <w:rPr>
          <w:spacing w:val="-53"/>
        </w:rPr>
        <w:t> </w:t>
      </w:r>
      <w:r>
        <w:rPr/>
        <w:t>年</w:t>
      </w:r>
      <w:r>
        <w:rPr>
          <w:spacing w:val="-55"/>
        </w:rPr>
        <w:t> </w:t>
      </w:r>
      <w:r>
        <w:rPr/>
        <w:t>4</w:t>
      </w:r>
      <w:r>
        <w:rPr>
          <w:spacing w:val="-53"/>
        </w:rPr>
        <w:t> </w:t>
      </w:r>
      <w:r>
        <w:rPr/>
        <w:t>月</w:t>
      </w:r>
      <w:r>
        <w:rPr>
          <w:spacing w:val="-55"/>
        </w:rPr>
        <w:t> </w:t>
      </w:r>
      <w:r>
        <w:rPr/>
        <w:t>13</w:t>
      </w:r>
      <w:r>
        <w:rPr>
          <w:spacing w:val="-53"/>
        </w:rPr>
        <w:t> </w:t>
      </w:r>
      <w:r>
        <w:rPr/>
        <w:t>日决议批准。</w:t>
      </w:r>
      <w:r>
        <w:rPr>
          <w:w w:val="100"/>
        </w:rPr>
        <w:t> </w:t>
      </w:r>
      <w:r>
        <w:rPr/>
        <w:t>企业名称：茂业通信网络股份有限公司</w:t>
      </w:r>
    </w:p>
    <w:p>
      <w:pPr>
        <w:pStyle w:val="BodyText"/>
        <w:tabs>
          <w:tab w:pos="3199" w:val="left" w:leader="none"/>
          <w:tab w:pos="6979" w:val="left" w:leader="none"/>
        </w:tabs>
        <w:spacing w:line="240" w:lineRule="auto" w:before="82"/>
        <w:ind w:right="0"/>
        <w:jc w:val="left"/>
      </w:pPr>
      <w:r>
        <w:rPr>
          <w:spacing w:val="-2"/>
        </w:rPr>
        <w:t>法定代表人：吴鹰</w:t>
        <w:tab/>
        <w:t>主管会计工作负责人：</w:t>
      </w:r>
      <w:r>
        <w:rPr>
          <w:spacing w:val="17"/>
        </w:rPr>
        <w:t> </w:t>
      </w:r>
      <w:r>
        <w:rPr/>
        <w:t>汪强</w:t>
        <w:tab/>
      </w:r>
      <w:r>
        <w:rPr>
          <w:spacing w:val="-2"/>
        </w:rPr>
        <w:t>会计机构负责人：张雷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tabs>
          <w:tab w:pos="4339" w:val="left" w:leader="none"/>
        </w:tabs>
        <w:spacing w:line="240" w:lineRule="auto"/>
        <w:ind w:left="3053" w:right="0"/>
        <w:jc w:val="left"/>
        <w:rPr>
          <w:b w:val="0"/>
          <w:bCs w:val="0"/>
        </w:rPr>
      </w:pPr>
      <w:bookmarkStart w:name="_TOC_250000" w:id="9"/>
      <w:r>
        <w:rPr>
          <w:w w:val="95"/>
        </w:rPr>
        <w:t>第十章</w:t>
        <w:tab/>
      </w:r>
      <w:r>
        <w:rPr/>
        <w:t>备查文件目录</w:t>
      </w:r>
      <w:bookmarkEnd w:id="9"/>
      <w:r>
        <w:rPr>
          <w:b w:val="0"/>
          <w:bCs w:val="0"/>
        </w:rPr>
      </w:r>
    </w:p>
    <w:p>
      <w:pPr>
        <w:spacing w:line="240" w:lineRule="auto" w:before="9"/>
        <w:rPr>
          <w:rFonts w:ascii="宋体" w:hAnsi="宋体" w:cs="宋体" w:eastAsia="宋体" w:hint="default"/>
          <w:b/>
          <w:bCs/>
          <w:sz w:val="34"/>
          <w:szCs w:val="34"/>
        </w:rPr>
      </w:pPr>
    </w:p>
    <w:p>
      <w:pPr>
        <w:pStyle w:val="BodyText"/>
        <w:spacing w:line="273" w:lineRule="auto" w:before="0"/>
        <w:ind w:left="153" w:right="0" w:firstLine="420"/>
        <w:jc w:val="left"/>
      </w:pPr>
      <w:r>
        <w:rPr>
          <w:spacing w:val="-2"/>
        </w:rPr>
        <w:t>一、载有公司负责人、主管会计工作负责人、会计机构负责人（会计主管人员）签名并盖章的</w:t>
      </w:r>
      <w:r>
        <w:rPr>
          <w:w w:val="100"/>
        </w:rPr>
        <w:t> </w:t>
      </w:r>
      <w:r>
        <w:rPr/>
        <w:t>财务报表。</w:t>
      </w:r>
    </w:p>
    <w:p>
      <w:pPr>
        <w:pStyle w:val="BodyText"/>
        <w:spacing w:line="468" w:lineRule="exact" w:before="34"/>
        <w:ind w:right="0"/>
        <w:jc w:val="left"/>
      </w:pPr>
      <w:r>
        <w:rPr/>
        <w:t>二、载有会计师事务所盖章、注册会计师签名并盖章的审计报告原件。</w:t>
      </w:r>
      <w:r>
        <w:rPr>
          <w:w w:val="100"/>
        </w:rPr>
        <w:t> </w:t>
      </w:r>
      <w:r>
        <w:rPr/>
        <w:t>三、报告期内在中国证监会指定网站上公开披露过的所有公司文件的正本及公告的原稿。</w:t>
      </w:r>
      <w:r>
        <w:rPr>
          <w:w w:val="100"/>
        </w:rPr>
        <w:t> </w:t>
      </w:r>
      <w:r>
        <w:rPr>
          <w:spacing w:val="-2"/>
        </w:rPr>
        <w:t>公司将上述文件的原件或具有法律效力的复印件同时备置于公司住所、证券交易所，以供社会</w:t>
      </w:r>
    </w:p>
    <w:p>
      <w:pPr>
        <w:pStyle w:val="BodyText"/>
        <w:spacing w:line="248" w:lineRule="exact" w:before="0"/>
        <w:ind w:left="153" w:right="0"/>
        <w:jc w:val="left"/>
      </w:pPr>
      <w:r>
        <w:rPr/>
        <w:t>公众查阅。</w:t>
      </w:r>
    </w:p>
    <w:p>
      <w:pPr>
        <w:spacing w:line="240" w:lineRule="auto" w:before="9"/>
        <w:rPr>
          <w:rFonts w:ascii="宋体" w:hAnsi="宋体" w:cs="宋体" w:eastAsia="宋体" w:hint="default"/>
          <w:sz w:val="26"/>
          <w:szCs w:val="26"/>
        </w:rPr>
      </w:pPr>
    </w:p>
    <w:p>
      <w:pPr>
        <w:pStyle w:val="BodyText"/>
        <w:spacing w:line="544" w:lineRule="auto" w:before="0"/>
        <w:ind w:left="6873" w:right="133" w:hanging="228"/>
        <w:jc w:val="right"/>
      </w:pPr>
      <w:r>
        <w:rPr>
          <w:spacing w:val="-2"/>
        </w:rPr>
        <w:t>茂业通信网络股份有限公司</w:t>
      </w:r>
      <w:r>
        <w:rPr>
          <w:spacing w:val="-95"/>
        </w:rPr>
        <w:t> </w:t>
      </w:r>
      <w:r>
        <w:rPr>
          <w:spacing w:val="-95"/>
        </w:rPr>
      </w:r>
      <w:r>
        <w:rPr>
          <w:spacing w:val="-3"/>
        </w:rPr>
        <w:t>法定代表人(签字)：吴鹰</w:t>
      </w:r>
      <w:r>
        <w:rPr>
          <w:w w:val="100"/>
        </w:rPr>
        <w:t> </w:t>
      </w:r>
      <w:r>
        <w:rPr/>
        <w:t>2018</w:t>
      </w:r>
      <w:r>
        <w:rPr>
          <w:spacing w:val="-54"/>
        </w:rPr>
        <w:t> </w:t>
      </w:r>
      <w:r>
        <w:rPr/>
        <w:t>年</w:t>
      </w:r>
      <w:r>
        <w:rPr>
          <w:spacing w:val="-52"/>
        </w:rPr>
        <w:t> </w:t>
      </w:r>
      <w:r>
        <w:rPr/>
        <w:t>4</w:t>
      </w:r>
      <w:r>
        <w:rPr>
          <w:spacing w:val="-54"/>
        </w:rPr>
        <w:t> </w:t>
      </w:r>
      <w:r>
        <w:rPr/>
        <w:t>月</w:t>
      </w:r>
      <w:r>
        <w:rPr>
          <w:spacing w:val="-52"/>
        </w:rPr>
        <w:t> </w:t>
      </w:r>
      <w:r>
        <w:rPr/>
        <w:t>13</w:t>
      </w:r>
      <w:r>
        <w:rPr>
          <w:spacing w:val="-54"/>
        </w:rPr>
        <w:t> </w:t>
      </w:r>
      <w:r>
        <w:rPr/>
        <w:t>日</w:t>
      </w:r>
    </w:p>
    <w:sectPr>
      <w:pgSz w:w="11910" w:h="16840"/>
      <w:pgMar w:header="884" w:footer="1219" w:top="1140" w:bottom="140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隶书">
    <w:altName w:val="隶书"/>
    <w:charset w:val="86"/>
    <w:family w:val="modern"/>
    <w:pitch w:val="fixed"/>
  </w:font>
  <w:font w:name="宋体">
    <w:altName w:val="宋体"/>
    <w:charset w:val="86"/>
    <w:family w:val="auto"/>
    <w:pitch w:val="variable"/>
  </w:font>
  <w:font w:name="Calibri">
    <w:altName w:val="Calibri"/>
    <w:charset w:val="0"/>
    <w:family w:val="swiss"/>
    <w:pitch w:val="variable"/>
  </w:font>
  <w:font w:name="Gill Sans MT Condensed">
    <w:altName w:val="Gill Sans MT Condensed"/>
    <w:charset w:val="0"/>
    <w:family w:val="swiss"/>
    <w:pitch w:val="variable"/>
  </w:font>
  <w:font w:name="Arial">
    <w:altName w:val="Arial"/>
    <w:charset w:val="0"/>
    <w:family w:val="swiss"/>
    <w:pitch w:val="variable"/>
  </w:font>
  <w:font w:name="Microsoft Sans Serif">
    <w:altName w:val="Microsoft Sans Serif"/>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042999pt;margin-top:780.865662pt;width:74.150pt;height:12pt;mso-position-horizontal-relative:page;mso-position-vertical-relative:page;z-index:-860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40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41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50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51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3.680962pt;margin-top:756.606689pt;width:431.75pt;height:12.6pt;mso-position-horizontal-relative:page;mso-position-vertical-relative:page;z-index:-860104" type="#_x0000_t202" filled="false" stroked="false">
          <v:textbox inset="0,0,0,0">
            <w:txbxContent>
              <w:p>
                <w:pPr>
                  <w:pStyle w:val="BodyText"/>
                  <w:spacing w:line="231" w:lineRule="exact" w:before="0"/>
                  <w:ind w:left="20" w:right="0"/>
                  <w:jc w:val="left"/>
                </w:pPr>
                <w:r>
                  <w:rPr>
                    <w:spacing w:val="-2"/>
                  </w:rPr>
                  <w:t>三、员工培训计划：围绕公司发展战略、经营目标、依法合规运作、塑造职业观念、提高执行</w:t>
                </w:r>
              </w:p>
            </w:txbxContent>
          </v:textbox>
          <w10:wrap type="none"/>
        </v:shape>
      </w:pict>
    </w:r>
    <w:r>
      <w:rPr/>
      <w:pict>
        <v:shape style="position:absolute;margin-left:259.765991pt;margin-top:780.865662pt;width:78.6pt;height:12pt;mso-position-horizontal-relative:page;mso-position-vertical-relative:page;z-index:-860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3"/>
                    <w:sz w:val="18"/>
                    <w:szCs w:val="18"/>
                  </w:rPr>
                  <w:t>57</w:t>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58</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60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61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6pt;height:12pt;mso-position-horizontal-relative:page;mso-position-vertical-relative:page;z-index:-859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70 </w:t>
                </w:r>
                <w:r>
                  <w:rPr>
                    <w:rFonts w:ascii="宋体" w:hAnsi="宋体" w:cs="宋体" w:eastAsia="宋体" w:hint="default"/>
                    <w:sz w:val="18"/>
                    <w:szCs w:val="18"/>
                  </w:rPr>
                  <w:t>页 共 </w:t>
                </w:r>
                <w:r>
                  <w:rPr>
                    <w:rFonts w:ascii="Calibri" w:hAnsi="Calibri" w:cs="Calibri" w:eastAsia="Calibri" w:hint="default"/>
                    <w:sz w:val="18"/>
                    <w:szCs w:val="18"/>
                  </w:rPr>
                  <w:t>127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648987pt;margin-top:780.865662pt;width:78.95pt;height:12pt;mso-position-horizontal-relative:page;mso-position-vertical-relative:page;z-index:-8599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71</w:t>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1.553986pt;margin-top:534.269653pt;width:78.7pt;height:12pt;mso-position-horizontal-relative:page;mso-position-vertical-relative:page;z-index:-859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73</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648987pt;margin-top:769.948669pt;width:78.8pt;height:12pt;mso-position-horizontal-relative:page;mso-position-vertical-relative:page;z-index:-859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77</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69.948669pt;width:78.7pt;height:12pt;mso-position-horizontal-relative:page;mso-position-vertical-relative:page;z-index:-859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80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69.948669pt;width:78.7pt;height:12pt;mso-position-horizontal-relative:page;mso-position-vertical-relative:page;z-index:-859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81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69.948669pt;width:78.7pt;height:12pt;mso-position-horizontal-relative:page;mso-position-vertical-relative:page;z-index:-859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90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69.948669pt;width:78.7pt;height:12pt;mso-position-horizontal-relative:page;mso-position-vertical-relative:page;z-index:-859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91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489014pt;margin-top:769.948669pt;width:83.25pt;height:12pt;mso-position-horizontal-relative:page;mso-position-vertical-relative:page;z-index:-859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100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489014pt;margin-top:769.948669pt;width:83.25pt;height:12pt;mso-position-horizontal-relative:page;mso-position-vertical-relative:page;z-index:-859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101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489014pt;margin-top:769.948669pt;width:83.25pt;height:12pt;mso-position-horizontal-relative:page;mso-position-vertical-relative:page;z-index:-859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110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489014pt;margin-top:769.948669pt;width:83.25pt;height:12pt;mso-position-horizontal-relative:page;mso-position-vertical-relative:page;z-index:-859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111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489014pt;margin-top:769.948669pt;width:83.25pt;height:12pt;mso-position-horizontal-relative:page;mso-position-vertical-relative:page;z-index:-859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120</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489014pt;margin-top:769.948669pt;width:83.25pt;height:12pt;mso-position-horizontal-relative:page;mso-position-vertical-relative:page;z-index:-859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123</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20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21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28</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30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31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9.765991pt;margin-top:780.865662pt;width:78.7pt;height:12pt;mso-position-horizontal-relative:page;mso-position-vertical-relative:page;z-index:-860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34</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127</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239998pt;margin-top:57.600014pt;width:453.6pt;height:.1pt;mso-position-horizontal-relative:page;mso-position-vertical-relative:page;z-index:-860464" coordorigin="1445,1152" coordsize="9072,2">
          <v:shape style="position:absolute;left:1445;top:1152;width:9072;height:2" coordorigin="1445,1152" coordsize="9072,0" path="m1445,1152l10517,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2.677116pt;margin-top:43.204773pt;width:228.1pt;height:13.75pt;mso-position-horizontal-relative:page;mso-position-vertical-relative:page;z-index:-860440" type="#_x0000_t202" filled="false" stroked="false">
          <v:textbox inset="0,0,0,0">
            <w:txbxContent>
              <w:p>
                <w:pPr>
                  <w:pStyle w:val="BodyText"/>
                  <w:spacing w:line="258" w:lineRule="exact" w:before="0"/>
                  <w:ind w:left="20" w:right="0"/>
                  <w:jc w:val="left"/>
                </w:pPr>
                <w:r>
                  <w:rPr>
                    <w:color w:val="FF0000"/>
                  </w:rPr>
                  <w:t>茂业通信网络股份有限公司</w:t>
                </w:r>
                <w:r>
                  <w:rPr>
                    <w:color w:val="FF0000"/>
                    <w:spacing w:val="-56"/>
                  </w:rPr>
                  <w:t> </w:t>
                </w:r>
                <w:r>
                  <w:rPr>
                    <w:rFonts w:ascii="Calibri" w:hAnsi="Calibri" w:cs="Calibri" w:eastAsia="Calibri" w:hint="default"/>
                    <w:color w:val="FF0000"/>
                  </w:rPr>
                  <w:t>2017</w:t>
                </w:r>
                <w:r>
                  <w:rPr>
                    <w:rFonts w:ascii="Calibri" w:hAnsi="Calibri" w:cs="Calibri" w:eastAsia="Calibri" w:hint="default"/>
                    <w:color w:val="FF0000"/>
                    <w:spacing w:val="2"/>
                  </w:rPr>
                  <w:t> </w:t>
                </w:r>
                <w:r>
                  <w:rPr>
                    <w:color w:val="FF0000"/>
                  </w:rPr>
                  <w:t>年年度报告全文</w:t>
                </w:r>
                <w:r>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3.720001pt;margin-top:57.600002pt;width:714.4pt;height:.1pt;mso-position-horizontal-relative:page;mso-position-vertical-relative:page;z-index:-859936" coordorigin="1274,1152" coordsize="14288,2">
          <v:shape style="position:absolute;left:1274;top:1152;width:14288;height:2" coordorigin="1274,1152" coordsize="14288,0" path="m1274,1152l15562,1152e" filled="false" stroked="true" strokeweight=".72pt" strokecolor="#000000">
            <v:path arrowok="t"/>
          </v:shape>
          <w10:wrap type="none"/>
        </v:group>
      </w:pict>
    </w:r>
    <w:r>
      <w:rPr/>
      <w:pict>
        <v:shape style="position:absolute;margin-left:64.155197pt;margin-top:43.209pt;width:228.1pt;height:13.75pt;mso-position-horizontal-relative:page;mso-position-vertical-relative:page;z-index:-859912" type="#_x0000_t202" filled="false" stroked="false">
          <v:textbox inset="0,0,0,0">
            <w:txbxContent>
              <w:p>
                <w:pPr>
                  <w:pStyle w:val="BodyText"/>
                  <w:spacing w:line="258" w:lineRule="exact" w:before="0"/>
                  <w:ind w:left="20" w:right="0"/>
                  <w:jc w:val="left"/>
                </w:pPr>
                <w:r>
                  <w:rPr>
                    <w:color w:val="FF0000"/>
                  </w:rPr>
                  <w:t>茂业通信网络股份有限公司</w:t>
                </w:r>
                <w:r>
                  <w:rPr>
                    <w:color w:val="FF0000"/>
                    <w:spacing w:val="-56"/>
                  </w:rPr>
                  <w:t> </w:t>
                </w:r>
                <w:r>
                  <w:rPr>
                    <w:rFonts w:ascii="Calibri" w:hAnsi="Calibri" w:cs="Calibri" w:eastAsia="Calibri" w:hint="default"/>
                    <w:color w:val="FF0000"/>
                  </w:rPr>
                  <w:t>2017</w:t>
                </w:r>
                <w:r>
                  <w:rPr>
                    <w:rFonts w:ascii="Calibri" w:hAnsi="Calibri" w:cs="Calibri" w:eastAsia="Calibri" w:hint="default"/>
                    <w:color w:val="FF0000"/>
                    <w:spacing w:val="2"/>
                  </w:rPr>
                  <w:t> </w:t>
                </w:r>
                <w:r>
                  <w:rPr>
                    <w:color w:val="FF0000"/>
                  </w:rPr>
                  <w:t>年年度报告全文</w:t>
                </w:r>
                <w:r>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239998pt;margin-top:57.600014pt;width:453.6pt;height:.1pt;mso-position-horizontal-relative:page;mso-position-vertical-relative:page;z-index:-859864" coordorigin="1445,1152" coordsize="9072,2">
          <v:shape style="position:absolute;left:1445;top:1152;width:9072;height:2" coordorigin="1445,1152" coordsize="9072,0" path="m1445,1152l10517,1152e" filled="false" stroked="true" strokeweight=".72pt" strokecolor="#000000">
            <v:path arrowok="t"/>
          </v:shape>
          <w10:wrap type="none"/>
        </v:group>
      </w:pict>
    </w:r>
    <w:r>
      <w:rPr/>
      <w:pict>
        <v:shape style="position:absolute;margin-left:72.677116pt;margin-top:43.204773pt;width:228.1pt;height:13.75pt;mso-position-horizontal-relative:page;mso-position-vertical-relative:page;z-index:-859840" type="#_x0000_t202" filled="false" stroked="false">
          <v:textbox inset="0,0,0,0">
            <w:txbxContent>
              <w:p>
                <w:pPr>
                  <w:pStyle w:val="BodyText"/>
                  <w:spacing w:line="258" w:lineRule="exact" w:before="0"/>
                  <w:ind w:left="20" w:right="0"/>
                  <w:jc w:val="left"/>
                </w:pPr>
                <w:r>
                  <w:rPr>
                    <w:color w:val="FF0000"/>
                  </w:rPr>
                  <w:t>茂业通信网络股份有限公司</w:t>
                </w:r>
                <w:r>
                  <w:rPr>
                    <w:color w:val="FF0000"/>
                    <w:spacing w:val="-56"/>
                  </w:rPr>
                  <w:t> </w:t>
                </w:r>
                <w:r>
                  <w:rPr>
                    <w:rFonts w:ascii="Calibri" w:hAnsi="Calibri" w:cs="Calibri" w:eastAsia="Calibri" w:hint="default"/>
                    <w:color w:val="FF0000"/>
                  </w:rPr>
                  <w:t>2017</w:t>
                </w:r>
                <w:r>
                  <w:rPr>
                    <w:rFonts w:ascii="Calibri" w:hAnsi="Calibri" w:cs="Calibri" w:eastAsia="Calibri" w:hint="default"/>
                    <w:color w:val="FF0000"/>
                    <w:spacing w:val="2"/>
                  </w:rPr>
                  <w:t> </w:t>
                </w:r>
                <w:r>
                  <w:rPr>
                    <w:color w:val="FF0000"/>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3"/>
      <w:ind w:left="153"/>
    </w:pPr>
    <w:rPr>
      <w:rFonts w:ascii="宋体" w:hAnsi="宋体" w:eastAsia="宋体"/>
      <w:sz w:val="21"/>
      <w:szCs w:val="21"/>
    </w:rPr>
  </w:style>
  <w:style w:styleId="TOC2" w:type="paragraph">
    <w:name w:val="TOC 2"/>
    <w:basedOn w:val="Normal"/>
    <w:uiPriority w:val="1"/>
    <w:qFormat/>
    <w:pPr>
      <w:spacing w:before="104"/>
      <w:ind w:left="259"/>
    </w:pPr>
    <w:rPr>
      <w:rFonts w:ascii="宋体" w:hAnsi="宋体" w:eastAsia="宋体"/>
      <w:sz w:val="21"/>
      <w:szCs w:val="21"/>
    </w:rPr>
  </w:style>
  <w:style w:styleId="BodyText" w:type="paragraph">
    <w:name w:val="Body Text"/>
    <w:basedOn w:val="Normal"/>
    <w:uiPriority w:val="1"/>
    <w:qFormat/>
    <w:pPr>
      <w:spacing w:before="7"/>
      <w:ind w:left="573"/>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36"/>
      <w:ind w:left="575"/>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miit.gov.cn/)" TargetMode="External"/><Relationship Id="rId9" Type="http://schemas.openxmlformats.org/officeDocument/2006/relationships/hyperlink" Target="http://www.cninfo.com.cn/)" TargetMode="External"/><Relationship Id="rId10" Type="http://schemas.openxmlformats.org/officeDocument/2006/relationships/hyperlink" Target="http://www.hlsc.com.cn/" TargetMode="External"/><Relationship Id="rId11" Type="http://schemas.openxmlformats.org/officeDocument/2006/relationships/hyperlink" Target="mailto:hlsc000889@163.com" TargetMode="External"/><Relationship Id="rId12" Type="http://schemas.openxmlformats.org/officeDocument/2006/relationships/hyperlink" Target="mailto:sc000889@163.com" TargetMode="External"/><Relationship Id="rId13" Type="http://schemas.openxmlformats.org/officeDocument/2006/relationships/hyperlink" Target="mailto:hqjiao@sohu.com" TargetMode="External"/><Relationship Id="rId14" Type="http://schemas.openxmlformats.org/officeDocument/2006/relationships/hyperlink" Target="mailto:jiao@sohu.com" TargetMode="External"/><Relationship Id="rId15" Type="http://schemas.openxmlformats.org/officeDocument/2006/relationships/hyperlink" Target="mailto:haiyingduo@163.com" TargetMode="External"/><Relationship Id="rId16" Type="http://schemas.openxmlformats.org/officeDocument/2006/relationships/hyperlink" Target="mailto:iyingduo@163.com" TargetMode="External"/><Relationship Id="rId17" Type="http://schemas.openxmlformats.org/officeDocument/2006/relationships/hyperlink" Target="http://www.cninfo.com.cn/" TargetMode="External"/><Relationship Id="rId18" Type="http://schemas.openxmlformats.org/officeDocument/2006/relationships/image" Target="media/image2.pn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yperlink" Target="http://irm.cninfo.com.cn/ssessgs/S000889/" TargetMode="Externa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footer" Target="footer14.xml"/><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header" Target="header2.xml"/><Relationship Id="rId57" Type="http://schemas.openxmlformats.org/officeDocument/2006/relationships/footer" Target="footer20.xml"/><Relationship Id="rId58" Type="http://schemas.openxmlformats.org/officeDocument/2006/relationships/header" Target="header3.xml"/><Relationship Id="rId59" Type="http://schemas.openxmlformats.org/officeDocument/2006/relationships/footer" Target="footer21.xml"/><Relationship Id="rId60" Type="http://schemas.openxmlformats.org/officeDocument/2006/relationships/footer" Target="footer22.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footer" Target="footer25.xml"/><Relationship Id="rId64" Type="http://schemas.openxmlformats.org/officeDocument/2006/relationships/footer" Target="footer26.xml"/><Relationship Id="rId65" Type="http://schemas.openxmlformats.org/officeDocument/2006/relationships/footer" Target="footer27.xml"/><Relationship Id="rId66" Type="http://schemas.openxmlformats.org/officeDocument/2006/relationships/footer" Target="footer28.xml"/><Relationship Id="rId67" Type="http://schemas.openxmlformats.org/officeDocument/2006/relationships/footer" Target="footer29.xml"/><Relationship Id="rId68" Type="http://schemas.openxmlformats.org/officeDocument/2006/relationships/footer" Target="footer30.xml"/><Relationship Id="rId69"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2020-05-02T20:30:36Z</dcterms:created>
  <dcterms:modified xsi:type="dcterms:W3CDTF">2020-05-02T20:30:36Z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LastSaved">
    <vt:filetime>2020-05-02T00:00:00Z</vt:filetime>
  </property>
</Properties>
</file>